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B5" w:rsidRPr="006B21B5" w:rsidRDefault="006B21B5" w:rsidP="006B21B5">
      <w:pPr>
        <w:spacing w:before="100" w:beforeAutospacing="1" w:after="100" w:afterAutospacing="1"/>
        <w:ind w:firstLine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6B21B5">
        <w:rPr>
          <w:rFonts w:eastAsia="Times New Roman"/>
          <w:b/>
          <w:bCs/>
          <w:sz w:val="32"/>
          <w:szCs w:val="32"/>
          <w:lang w:eastAsia="ru-RU"/>
        </w:rPr>
        <w:t>Приказ МЧС России от 26 января 2016 г. № 26 "Об утверждении Порядка использования открытого огня и разведения костров на землях сельскохозяйственного назначения и землях запаса” (не вступил в силу)</w:t>
      </w:r>
    </w:p>
    <w:p w:rsidR="006B21B5" w:rsidRPr="006B21B5" w:rsidRDefault="006B21B5" w:rsidP="006B21B5">
      <w:pPr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15 марта 2016 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bookmarkStart w:id="0" w:name="0"/>
      <w:bookmarkEnd w:id="0"/>
      <w:r w:rsidRPr="006B21B5">
        <w:rPr>
          <w:rFonts w:eastAsia="Times New Roman"/>
          <w:sz w:val="24"/>
          <w:szCs w:val="24"/>
          <w:lang w:eastAsia="ru-RU"/>
        </w:rPr>
        <w:t>В соответствии с пунктом 218 Правил противопожарного режима в Российской Федерации, утвержденных постановлением Правительства Российской Федерации от 25 апреля 2012 г. № 390</w:t>
      </w:r>
      <w:hyperlink r:id="rId5" w:anchor="111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6B21B5">
        <w:rPr>
          <w:rFonts w:eastAsia="Times New Roman"/>
          <w:sz w:val="24"/>
          <w:szCs w:val="24"/>
          <w:lang w:eastAsia="ru-RU"/>
        </w:rPr>
        <w:t>, приказываю: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Утвердить прилагаемый </w:t>
      </w:r>
      <w:hyperlink r:id="rId6" w:anchor="1000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использования открытого огня и разведения костров на землях сельскохозяйственного назначения и землях запаса.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353"/>
      </w:tblGrid>
      <w:tr w:rsidR="006B21B5" w:rsidRPr="006B21B5" w:rsidTr="006B21B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В.А. Пучков </w:t>
            </w:r>
          </w:p>
        </w:tc>
      </w:tr>
    </w:tbl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------------------------------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* Собрание законодательства Российской Федерации, 2012, № 19, ст. 2415; 2015, № 46, ст. 6397.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Зарегистрировано в Минюсте РФ 4 марта 2016 г. </w:t>
      </w:r>
      <w:r w:rsidRPr="006B21B5">
        <w:rPr>
          <w:rFonts w:eastAsia="Times New Roman"/>
          <w:sz w:val="24"/>
          <w:szCs w:val="24"/>
          <w:lang w:eastAsia="ru-RU"/>
        </w:rPr>
        <w:br/>
        <w:t>Регистрационный № 41317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6B21B5">
        <w:rPr>
          <w:rFonts w:eastAsia="Times New Roman"/>
          <w:sz w:val="24"/>
          <w:szCs w:val="24"/>
          <w:lang w:eastAsia="ru-RU"/>
        </w:rPr>
        <w:t>Приложение</w:t>
      </w:r>
      <w:r w:rsidRPr="006B21B5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 w:rsidRPr="006B21B5">
        <w:rPr>
          <w:rFonts w:eastAsia="Times New Roman"/>
          <w:sz w:val="24"/>
          <w:szCs w:val="24"/>
          <w:lang w:eastAsia="ru-RU"/>
        </w:rPr>
        <w:t xml:space="preserve">к </w:t>
      </w:r>
      <w:hyperlink r:id="rId7" w:anchor="0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МЧС России</w:t>
      </w:r>
      <w:r w:rsidRPr="006B21B5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bookmarkStart w:id="1" w:name="_GoBack"/>
      <w:bookmarkEnd w:id="1"/>
      <w:r w:rsidRPr="006B21B5">
        <w:rPr>
          <w:rFonts w:eastAsia="Times New Roman"/>
          <w:sz w:val="24"/>
          <w:szCs w:val="24"/>
          <w:lang w:eastAsia="ru-RU"/>
        </w:rPr>
        <w:t>от 26 января 2016 г. № 26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6B21B5">
        <w:rPr>
          <w:rFonts w:eastAsia="Times New Roman"/>
          <w:b/>
          <w:bCs/>
          <w:sz w:val="27"/>
          <w:szCs w:val="27"/>
          <w:lang w:eastAsia="ru-RU"/>
        </w:rPr>
        <w:t>Порядок</w:t>
      </w:r>
      <w:r w:rsidRPr="006B21B5">
        <w:rPr>
          <w:rFonts w:eastAsia="Times New Roman"/>
          <w:b/>
          <w:bCs/>
          <w:sz w:val="27"/>
          <w:szCs w:val="27"/>
          <w:lang w:eastAsia="ru-RU"/>
        </w:rPr>
        <w:br/>
        <w:t>использования открытого огня и разведения костров на землях сельскохозяйственного назначения и землях запаса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6B21B5">
        <w:rPr>
          <w:rFonts w:eastAsia="Times New Roman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6B21B5">
        <w:rPr>
          <w:rFonts w:eastAsia="Times New Roman"/>
          <w:sz w:val="24"/>
          <w:szCs w:val="24"/>
          <w:lang w:eastAsia="ru-RU"/>
        </w:rPr>
        <w:t xml:space="preserve"> более 1 куб. метра;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</w:t>
      </w:r>
      <w:r w:rsidRPr="006B21B5">
        <w:rPr>
          <w:rFonts w:eastAsia="Times New Roman"/>
          <w:sz w:val="24"/>
          <w:szCs w:val="24"/>
          <w:lang w:eastAsia="ru-RU"/>
        </w:rPr>
        <w:lastRenderedPageBreak/>
        <w:t>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8" w:anchor="1022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подпунктами «б»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и </w:t>
      </w:r>
      <w:hyperlink r:id="rId9" w:anchor="1023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«в» пункта 2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5. </w:t>
      </w:r>
      <w:proofErr w:type="gramStart"/>
      <w:r w:rsidRPr="006B21B5">
        <w:rPr>
          <w:rFonts w:eastAsia="Times New Roman"/>
          <w:sz w:val="24"/>
          <w:szCs w:val="24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r:id="rId10" w:anchor="1100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приложением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к настоящему Порядку.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7. При увеличении диаметра зоны очага горения должны быть выполнены требования </w:t>
      </w:r>
      <w:hyperlink r:id="rId11" w:anchor="1002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№ 645 (зарегистрирован Минюстом России 21.01.2008, регистрационный № 10938)</w:t>
      </w:r>
      <w:hyperlink r:id="rId12" w:anchor="1111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6B21B5">
        <w:rPr>
          <w:rFonts w:eastAsia="Times New Roman"/>
          <w:sz w:val="24"/>
          <w:szCs w:val="24"/>
          <w:lang w:eastAsia="ru-RU"/>
        </w:rPr>
        <w:t>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B21B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6B21B5">
        <w:rPr>
          <w:rFonts w:eastAsia="Times New Roman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9. Использование открытого огня запрещается: 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lastRenderedPageBreak/>
        <w:t>на торфяных почвах;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под кронами деревьев хвойных пород;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10. В процессе использования открытого огня запрещается: осуществлять сжигание </w:t>
      </w:r>
      <w:proofErr w:type="gramStart"/>
      <w:r w:rsidRPr="006B21B5">
        <w:rPr>
          <w:rFonts w:eastAsia="Times New Roman"/>
          <w:sz w:val="24"/>
          <w:szCs w:val="24"/>
          <w:lang w:eastAsia="ru-RU"/>
        </w:rPr>
        <w:t>горючих</w:t>
      </w:r>
      <w:proofErr w:type="gramEnd"/>
      <w:r w:rsidRPr="006B21B5">
        <w:rPr>
          <w:rFonts w:eastAsia="Times New Roman"/>
          <w:sz w:val="24"/>
          <w:szCs w:val="24"/>
          <w:lang w:eastAsia="ru-RU"/>
        </w:rPr>
        <w:t xml:space="preserve"> и легковоспламеняющихся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------------------------------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* С изменениями, внесенными приказами МЧС России от 27.01.2009 (</w:t>
      </w:r>
      <w:proofErr w:type="gramStart"/>
      <w:r w:rsidRPr="006B21B5">
        <w:rPr>
          <w:rFonts w:eastAsia="Times New Roman"/>
          <w:sz w:val="24"/>
          <w:szCs w:val="24"/>
          <w:lang w:eastAsia="ru-RU"/>
        </w:rPr>
        <w:t>зарегистрирован</w:t>
      </w:r>
      <w:proofErr w:type="gramEnd"/>
      <w:r w:rsidRPr="006B21B5">
        <w:rPr>
          <w:rFonts w:eastAsia="Times New Roman"/>
          <w:sz w:val="24"/>
          <w:szCs w:val="24"/>
          <w:lang w:eastAsia="ru-RU"/>
        </w:rPr>
        <w:t xml:space="preserve"> Минюстом России 25.02.2009, регистрационный № 13429) и от 22.06.2010 № 289 (зарегистрирован Минюстом России 16.07.2010, регистрационный № 17880)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Приложение</w:t>
      </w:r>
      <w:r w:rsidRPr="006B21B5">
        <w:rPr>
          <w:rFonts w:eastAsia="Times New Roman"/>
          <w:sz w:val="24"/>
          <w:szCs w:val="24"/>
          <w:lang w:eastAsia="ru-RU"/>
        </w:rPr>
        <w:br/>
        <w:t xml:space="preserve">к </w:t>
      </w:r>
      <w:hyperlink r:id="rId13" w:anchor="1000" w:history="1">
        <w:r w:rsidRPr="006B21B5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Порядку</w:t>
        </w:r>
      </w:hyperlink>
      <w:r w:rsidRPr="006B21B5">
        <w:rPr>
          <w:rFonts w:eastAsia="Times New Roman"/>
          <w:sz w:val="24"/>
          <w:szCs w:val="24"/>
          <w:lang w:eastAsia="ru-RU"/>
        </w:rPr>
        <w:t xml:space="preserve"> использования открытого</w:t>
      </w:r>
      <w:r w:rsidRPr="006B21B5">
        <w:rPr>
          <w:rFonts w:eastAsia="Times New Roman"/>
          <w:sz w:val="24"/>
          <w:szCs w:val="24"/>
          <w:lang w:eastAsia="ru-RU"/>
        </w:rPr>
        <w:br/>
        <w:t>огня и разведения костров на землях</w:t>
      </w:r>
      <w:r w:rsidRPr="006B21B5">
        <w:rPr>
          <w:rFonts w:eastAsia="Times New Roman"/>
          <w:sz w:val="24"/>
          <w:szCs w:val="24"/>
          <w:lang w:eastAsia="ru-RU"/>
        </w:rPr>
        <w:br/>
        <w:t>сельскохозяйственного назначения</w:t>
      </w:r>
      <w:r w:rsidRPr="006B21B5">
        <w:rPr>
          <w:rFonts w:eastAsia="Times New Roman"/>
          <w:sz w:val="24"/>
          <w:szCs w:val="24"/>
          <w:lang w:eastAsia="ru-RU"/>
        </w:rPr>
        <w:br/>
        <w:t>и землях запаса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0"/>
        <w:gridCol w:w="300"/>
        <w:gridCol w:w="360"/>
        <w:gridCol w:w="300"/>
        <w:gridCol w:w="360"/>
        <w:gridCol w:w="315"/>
      </w:tblGrid>
      <w:tr w:rsidR="006B21B5" w:rsidRPr="006B21B5" w:rsidTr="006B21B5">
        <w:trPr>
          <w:tblCellSpacing w:w="15" w:type="dxa"/>
        </w:trPr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1,5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B21B5" w:rsidRPr="006B21B5" w:rsidTr="006B21B5">
        <w:trPr>
          <w:tblCellSpacing w:w="15" w:type="dxa"/>
        </w:trPr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6B21B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6B21B5" w:rsidRPr="006B21B5" w:rsidRDefault="006B21B5" w:rsidP="006B21B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B21B5"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</w:tbl>
    <w:p w:rsidR="006B21B5" w:rsidRPr="006B21B5" w:rsidRDefault="006B21B5" w:rsidP="006B21B5">
      <w:pPr>
        <w:spacing w:before="100" w:beforeAutospacing="1" w:after="100" w:afterAutospacing="1"/>
        <w:ind w:firstLine="0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6B21B5">
        <w:rPr>
          <w:rFonts w:eastAsia="Times New Roman"/>
          <w:b/>
          <w:bCs/>
          <w:sz w:val="36"/>
          <w:szCs w:val="36"/>
          <w:lang w:eastAsia="ru-RU"/>
        </w:rPr>
        <w:lastRenderedPageBreak/>
        <w:t>Обзор документа</w:t>
      </w:r>
    </w:p>
    <w:p w:rsidR="006B21B5" w:rsidRPr="006B21B5" w:rsidRDefault="006B21B5" w:rsidP="006B21B5">
      <w:pPr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Установлены обязательные требования пожарной безопасности к использованию открытого огня и разведению костров на землях с/х назначения и землях запаса.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Использование открытого огня должно осуществляться в специально оборудованных местах при выполнении определенных требований. </w:t>
      </w:r>
      <w:proofErr w:type="gramStart"/>
      <w:r w:rsidRPr="006B21B5">
        <w:rPr>
          <w:rFonts w:eastAsia="Times New Roman"/>
          <w:sz w:val="24"/>
          <w:szCs w:val="24"/>
          <w:lang w:eastAsia="ru-RU"/>
        </w:rPr>
        <w:t xml:space="preserve">Так, в частности, место использования открытого огня должно быть выполнено в виде котлована (ямы, рва) не менее 0,3 м глубиной и не более 1 м в диаметре; оно должно располагаться не ближе 50 м от ближайшего объекта, 100 м - от хвойного леса (отдельных хвойных деревьев) и 30 м - от лиственного леса (отдельных групп лиственных деревьев) и </w:t>
      </w:r>
      <w:proofErr w:type="spellStart"/>
      <w:r w:rsidRPr="006B21B5">
        <w:rPr>
          <w:rFonts w:eastAsia="Times New Roman"/>
          <w:sz w:val="24"/>
          <w:szCs w:val="24"/>
          <w:lang w:eastAsia="ru-RU"/>
        </w:rPr>
        <w:t>тд</w:t>
      </w:r>
      <w:proofErr w:type="spellEnd"/>
      <w:r w:rsidRPr="006B21B5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Для своевременной локализации горения емкость для сжигания мусора должна быть с металлическим листом. Его размер должен позволять полностью закрыть емкость сверху.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При уничтожении сухой травянистой растительности, стерни, пожнивных остатков и иных горючих отходов допускается увеличивать диаметр очага горения до 3 м.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В течение всего периода использования открытого огня до прекращения тления должен осуществляться </w:t>
      </w:r>
      <w:proofErr w:type="gramStart"/>
      <w:r w:rsidRPr="006B21B5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6B21B5">
        <w:rPr>
          <w:rFonts w:eastAsia="Times New Roman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 xml:space="preserve">Определены случаи, когда использование открытого огня запрещено: на торфяных почвах; при установлении особого противопожарного режима; под кронами деревьев хвойных пород; в емкости, стенки которой имеют огненный сквозной прогар и </w:t>
      </w:r>
      <w:proofErr w:type="spellStart"/>
      <w:r w:rsidRPr="006B21B5">
        <w:rPr>
          <w:rFonts w:eastAsia="Times New Roman"/>
          <w:sz w:val="24"/>
          <w:szCs w:val="24"/>
          <w:lang w:eastAsia="ru-RU"/>
        </w:rPr>
        <w:t>тд</w:t>
      </w:r>
      <w:proofErr w:type="spellEnd"/>
      <w:r w:rsidRPr="006B21B5">
        <w:rPr>
          <w:rFonts w:eastAsia="Times New Roman"/>
          <w:sz w:val="24"/>
          <w:szCs w:val="24"/>
          <w:lang w:eastAsia="ru-RU"/>
        </w:rPr>
        <w:t>.</w:t>
      </w:r>
    </w:p>
    <w:p w:rsidR="006B21B5" w:rsidRPr="006B21B5" w:rsidRDefault="006B21B5" w:rsidP="006B21B5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6B21B5">
        <w:rPr>
          <w:rFonts w:eastAsia="Times New Roman"/>
          <w:sz w:val="24"/>
          <w:szCs w:val="24"/>
          <w:lang w:eastAsia="ru-RU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B21B5" w:rsidRPr="006B21B5" w:rsidRDefault="006B21B5" w:rsidP="006B21B5">
      <w:pPr>
        <w:shd w:val="clear" w:color="auto" w:fill="FFFFFF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6B21B5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941D64" w:rsidRDefault="00941D64"/>
    <w:sectPr w:rsidR="0094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B5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21B5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1B5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1B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1B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1B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21B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1B5"/>
    <w:rPr>
      <w:color w:val="0000FF"/>
      <w:u w:val="single"/>
    </w:rPr>
  </w:style>
  <w:style w:type="paragraph" w:customStyle="1" w:styleId="toleft">
    <w:name w:val="toleft"/>
    <w:basedOn w:val="a"/>
    <w:rsid w:val="006B21B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1B5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1B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1B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1B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21B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1B5"/>
    <w:rPr>
      <w:color w:val="0000FF"/>
      <w:u w:val="single"/>
    </w:rPr>
  </w:style>
  <w:style w:type="paragraph" w:customStyle="1" w:styleId="toleft">
    <w:name w:val="toleft"/>
    <w:basedOn w:val="a"/>
    <w:rsid w:val="006B21B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7022/" TargetMode="External"/><Relationship Id="rId13" Type="http://schemas.openxmlformats.org/officeDocument/2006/relationships/hyperlink" Target="http://www.garant.ru/products/ipo/prime/doc/71247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7022/" TargetMode="External"/><Relationship Id="rId12" Type="http://schemas.openxmlformats.org/officeDocument/2006/relationships/hyperlink" Target="http://www.garant.ru/products/ipo/prime/doc/712470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247022/" TargetMode="External"/><Relationship Id="rId11" Type="http://schemas.openxmlformats.org/officeDocument/2006/relationships/hyperlink" Target="http://www.garant.ru/products/ipo/prime/doc/71247022/" TargetMode="External"/><Relationship Id="rId5" Type="http://schemas.openxmlformats.org/officeDocument/2006/relationships/hyperlink" Target="http://www.garant.ru/products/ipo/prime/doc/712470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1247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2470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OMPGO_1</cp:lastModifiedBy>
  <cp:revision>2</cp:revision>
  <dcterms:created xsi:type="dcterms:W3CDTF">2016-04-11T07:56:00Z</dcterms:created>
  <dcterms:modified xsi:type="dcterms:W3CDTF">2016-04-11T07:56:00Z</dcterms:modified>
</cp:coreProperties>
</file>