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306E0A">
        <w:rPr>
          <w:rFonts w:ascii="Times New Roman" w:hAnsi="Times New Roman" w:cs="Times New Roman"/>
          <w:b/>
          <w:bCs/>
          <w:sz w:val="24"/>
          <w:szCs w:val="24"/>
        </w:rPr>
        <w:t>первое полугодие</w:t>
      </w:r>
      <w:r w:rsidR="007008CC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6A27FF">
        <w:rPr>
          <w:rFonts w:eastAsia="Calibri"/>
        </w:rPr>
        <w:t xml:space="preserve">Основные результаты работы за </w:t>
      </w:r>
      <w:r w:rsidR="00306E0A">
        <w:rPr>
          <w:rFonts w:eastAsia="Calibri"/>
        </w:rPr>
        <w:t>первое полугодие</w:t>
      </w:r>
      <w:r w:rsidR="007008CC">
        <w:rPr>
          <w:rFonts w:eastAsia="Calibri"/>
        </w:rPr>
        <w:t xml:space="preserve"> 2022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6A27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социальных сетях, на страницах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>первое полугодие</w:t>
      </w:r>
      <w:r w:rsidR="0070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 экономики, предпринимательской деятельности и инвестиций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2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306E0A" w:rsidP="00306E0A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июня 2022 года Уполномоченный орган </w:t>
      </w:r>
      <w:r w:rsidRPr="00306E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принял участие в учебном мероприятии Корпоративного университета на тему «Оценка регулирующего воздействия проектов муниципальных нормативных правовых актов»</w:t>
      </w: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306E0A"/>
    <w:rsid w:val="00410887"/>
    <w:rsid w:val="00447AEB"/>
    <w:rsid w:val="00502110"/>
    <w:rsid w:val="00540A5F"/>
    <w:rsid w:val="00557CBA"/>
    <w:rsid w:val="006A27FF"/>
    <w:rsid w:val="006A43EB"/>
    <w:rsid w:val="007008CC"/>
    <w:rsid w:val="00752FB5"/>
    <w:rsid w:val="008A76B7"/>
    <w:rsid w:val="0090418B"/>
    <w:rsid w:val="00946718"/>
    <w:rsid w:val="00967745"/>
    <w:rsid w:val="009F560D"/>
    <w:rsid w:val="00B35D5A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6C14-BF18-4315-B0CA-381E00E8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3</cp:revision>
  <cp:lastPrinted>2021-03-26T12:01:00Z</cp:lastPrinted>
  <dcterms:created xsi:type="dcterms:W3CDTF">2022-06-14T10:52:00Z</dcterms:created>
  <dcterms:modified xsi:type="dcterms:W3CDTF">2022-06-14T11:00:00Z</dcterms:modified>
</cp:coreProperties>
</file>