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E82963">
        <w:trPr>
          <w:trHeight w:val="322"/>
        </w:trPr>
        <w:tc>
          <w:tcPr>
            <w:tcW w:w="10314" w:type="dxa"/>
            <w:gridSpan w:val="5"/>
            <w:vMerge w:val="restart"/>
            <w:tcMar>
              <w:top w:w="0" w:type="dxa"/>
              <w:left w:w="0" w:type="dxa"/>
              <w:bottom w:w="0" w:type="dxa"/>
              <w:right w:w="0" w:type="dxa"/>
            </w:tcMar>
            <w:vAlign w:val="bottom"/>
          </w:tcPr>
          <w:p w:rsidR="00E82963" w:rsidRDefault="009E7646">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E82963">
        <w:trPr>
          <w:trHeight w:val="322"/>
        </w:trPr>
        <w:tc>
          <w:tcPr>
            <w:tcW w:w="10314" w:type="dxa"/>
            <w:gridSpan w:val="5"/>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 xml:space="preserve"> </w:t>
            </w:r>
          </w:p>
        </w:tc>
      </w:tr>
      <w:tr w:rsidR="00E82963">
        <w:tc>
          <w:tcPr>
            <w:tcW w:w="8614" w:type="dxa"/>
            <w:gridSpan w:val="4"/>
            <w:vMerge w:val="restart"/>
            <w:tcMar>
              <w:top w:w="0" w:type="dxa"/>
              <w:left w:w="0" w:type="dxa"/>
              <w:bottom w:w="0" w:type="dxa"/>
              <w:right w:w="0" w:type="dxa"/>
            </w:tcMar>
            <w:vAlign w:val="bottom"/>
          </w:tcPr>
          <w:p w:rsidR="00E82963" w:rsidRDefault="00E82963">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E82963" w:rsidRDefault="009E7646">
            <w:pPr>
              <w:jc w:val="center"/>
              <w:rPr>
                <w:color w:val="000000"/>
                <w:sz w:val="28"/>
                <w:szCs w:val="28"/>
              </w:rPr>
            </w:pPr>
            <w:r>
              <w:rPr>
                <w:color w:val="000000"/>
                <w:sz w:val="28"/>
                <w:szCs w:val="28"/>
              </w:rPr>
              <w:t>КОДЫ</w:t>
            </w:r>
          </w:p>
        </w:tc>
      </w:tr>
      <w:tr w:rsidR="00E82963">
        <w:tc>
          <w:tcPr>
            <w:tcW w:w="7027" w:type="dxa"/>
            <w:gridSpan w:val="3"/>
            <w:vMerge w:val="restart"/>
            <w:tcMar>
              <w:top w:w="0" w:type="dxa"/>
              <w:left w:w="0" w:type="dxa"/>
              <w:bottom w:w="0" w:type="dxa"/>
              <w:right w:w="0" w:type="dxa"/>
            </w:tcMar>
            <w:vAlign w:val="bottom"/>
          </w:tcPr>
          <w:p w:rsidR="00E82963" w:rsidRDefault="00E82963">
            <w:pPr>
              <w:spacing w:line="1" w:lineRule="auto"/>
            </w:pPr>
          </w:p>
        </w:tc>
        <w:tc>
          <w:tcPr>
            <w:tcW w:w="1587" w:type="dxa"/>
            <w:tcMar>
              <w:top w:w="0" w:type="dxa"/>
              <w:left w:w="0" w:type="dxa"/>
              <w:bottom w:w="0" w:type="dxa"/>
              <w:right w:w="0" w:type="dxa"/>
            </w:tcMar>
            <w:vAlign w:val="bottom"/>
          </w:tcPr>
          <w:p w:rsidR="00E82963" w:rsidRDefault="009E7646">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82963" w:rsidRDefault="009E7646">
            <w:pPr>
              <w:jc w:val="center"/>
              <w:rPr>
                <w:color w:val="000000"/>
                <w:sz w:val="28"/>
                <w:szCs w:val="28"/>
              </w:rPr>
            </w:pPr>
            <w:r>
              <w:rPr>
                <w:color w:val="000000"/>
                <w:sz w:val="28"/>
                <w:szCs w:val="28"/>
              </w:rPr>
              <w:t>0503160</w:t>
            </w:r>
          </w:p>
        </w:tc>
      </w:tr>
      <w:tr w:rsidR="00E82963">
        <w:tc>
          <w:tcPr>
            <w:tcW w:w="2494" w:type="dxa"/>
            <w:tcMar>
              <w:top w:w="0" w:type="dxa"/>
              <w:left w:w="0" w:type="dxa"/>
              <w:bottom w:w="0" w:type="dxa"/>
              <w:right w:w="0" w:type="dxa"/>
            </w:tcMar>
            <w:vAlign w:val="bottom"/>
          </w:tcPr>
          <w:p w:rsidR="00E82963" w:rsidRDefault="00E82963">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E82963">
              <w:trPr>
                <w:jc w:val="center"/>
              </w:trPr>
              <w:tc>
                <w:tcPr>
                  <w:tcW w:w="4533" w:type="dxa"/>
                  <w:tcMar>
                    <w:top w:w="0" w:type="dxa"/>
                    <w:left w:w="0" w:type="dxa"/>
                    <w:bottom w:w="0" w:type="dxa"/>
                    <w:right w:w="0" w:type="dxa"/>
                  </w:tcMar>
                </w:tcPr>
                <w:p w:rsidR="00E82963" w:rsidRDefault="009E7646">
                  <w:pPr>
                    <w:jc w:val="center"/>
                  </w:pPr>
                  <w:r>
                    <w:rPr>
                      <w:color w:val="000000"/>
                      <w:sz w:val="28"/>
                      <w:szCs w:val="28"/>
                    </w:rPr>
                    <w:t>на 1 января 2021 г.</w:t>
                  </w:r>
                </w:p>
              </w:tc>
            </w:tr>
          </w:tbl>
          <w:p w:rsidR="00E82963" w:rsidRDefault="00E82963">
            <w:pPr>
              <w:spacing w:line="1" w:lineRule="auto"/>
            </w:pPr>
          </w:p>
        </w:tc>
        <w:tc>
          <w:tcPr>
            <w:tcW w:w="1587" w:type="dxa"/>
            <w:tcMar>
              <w:top w:w="0" w:type="dxa"/>
              <w:left w:w="0" w:type="dxa"/>
              <w:bottom w:w="0" w:type="dxa"/>
              <w:right w:w="0" w:type="dxa"/>
            </w:tcMar>
            <w:vAlign w:val="bottom"/>
          </w:tcPr>
          <w:p w:rsidR="00E82963" w:rsidRDefault="009E7646">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82963" w:rsidRDefault="009E7646">
            <w:pPr>
              <w:jc w:val="center"/>
              <w:rPr>
                <w:color w:val="000000"/>
                <w:sz w:val="28"/>
                <w:szCs w:val="28"/>
              </w:rPr>
            </w:pPr>
            <w:r>
              <w:rPr>
                <w:color w:val="000000"/>
                <w:sz w:val="28"/>
                <w:szCs w:val="28"/>
              </w:rPr>
              <w:t>01.01.2021</w:t>
            </w:r>
          </w:p>
        </w:tc>
      </w:tr>
      <w:tr w:rsidR="00E82963">
        <w:trPr>
          <w:trHeight w:val="226"/>
        </w:trPr>
        <w:tc>
          <w:tcPr>
            <w:tcW w:w="7027" w:type="dxa"/>
            <w:gridSpan w:val="3"/>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E82963" w:rsidRDefault="00E82963">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E82963">
              <w:trPr>
                <w:jc w:val="center"/>
              </w:trPr>
              <w:tc>
                <w:tcPr>
                  <w:tcW w:w="1700" w:type="dxa"/>
                  <w:tcMar>
                    <w:top w:w="0" w:type="dxa"/>
                    <w:left w:w="0" w:type="dxa"/>
                    <w:bottom w:w="0" w:type="dxa"/>
                    <w:right w:w="0" w:type="dxa"/>
                  </w:tcMar>
                </w:tcPr>
                <w:p w:rsidR="00E82963" w:rsidRDefault="009E7646">
                  <w:pPr>
                    <w:jc w:val="center"/>
                  </w:pPr>
                  <w:r>
                    <w:rPr>
                      <w:color w:val="000000"/>
                      <w:sz w:val="28"/>
                      <w:szCs w:val="28"/>
                    </w:rPr>
                    <w:t>ГРБС</w:t>
                  </w:r>
                </w:p>
              </w:tc>
            </w:tr>
          </w:tbl>
          <w:p w:rsidR="00E82963" w:rsidRDefault="00E82963">
            <w:pPr>
              <w:spacing w:line="1" w:lineRule="auto"/>
            </w:pPr>
          </w:p>
        </w:tc>
      </w:tr>
      <w:tr w:rsidR="00E82963">
        <w:trPr>
          <w:trHeight w:val="226"/>
        </w:trPr>
        <w:tc>
          <w:tcPr>
            <w:tcW w:w="7027" w:type="dxa"/>
            <w:gridSpan w:val="3"/>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E82963" w:rsidRDefault="00E82963">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82963" w:rsidRDefault="00E82963">
            <w:pPr>
              <w:spacing w:line="1" w:lineRule="auto"/>
            </w:pPr>
          </w:p>
        </w:tc>
      </w:tr>
      <w:tr w:rsidR="00E82963">
        <w:trPr>
          <w:trHeight w:val="226"/>
        </w:trPr>
        <w:tc>
          <w:tcPr>
            <w:tcW w:w="7027" w:type="dxa"/>
            <w:gridSpan w:val="3"/>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E82963" w:rsidRDefault="009E7646">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E82963" w:rsidRDefault="009E7646">
            <w:pPr>
              <w:jc w:val="center"/>
              <w:rPr>
                <w:color w:val="000000"/>
                <w:sz w:val="28"/>
                <w:szCs w:val="28"/>
              </w:rPr>
            </w:pPr>
            <w:r>
              <w:rPr>
                <w:color w:val="000000"/>
                <w:sz w:val="28"/>
                <w:szCs w:val="28"/>
              </w:rPr>
              <w:t>01692773</w:t>
            </w:r>
          </w:p>
        </w:tc>
      </w:tr>
      <w:tr w:rsidR="00E82963">
        <w:trPr>
          <w:trHeight w:val="226"/>
        </w:trPr>
        <w:tc>
          <w:tcPr>
            <w:tcW w:w="7027" w:type="dxa"/>
            <w:gridSpan w:val="3"/>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E82963" w:rsidRDefault="00E8296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E82963" w:rsidRDefault="00E82963">
            <w:pPr>
              <w:spacing w:line="1" w:lineRule="auto"/>
              <w:jc w:val="center"/>
            </w:pPr>
          </w:p>
        </w:tc>
      </w:tr>
      <w:tr w:rsidR="00E82963">
        <w:trPr>
          <w:trHeight w:val="226"/>
        </w:trPr>
        <w:tc>
          <w:tcPr>
            <w:tcW w:w="7027" w:type="dxa"/>
            <w:gridSpan w:val="3"/>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E82963" w:rsidRDefault="00E82963">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E82963" w:rsidRDefault="00E82963">
            <w:pPr>
              <w:spacing w:line="1" w:lineRule="auto"/>
              <w:jc w:val="center"/>
            </w:pPr>
          </w:p>
        </w:tc>
      </w:tr>
      <w:tr w:rsidR="00E82963">
        <w:trPr>
          <w:trHeight w:val="680"/>
        </w:trPr>
        <w:tc>
          <w:tcPr>
            <w:tcW w:w="3627" w:type="dxa"/>
            <w:gridSpan w:val="2"/>
            <w:vMerge w:val="restart"/>
            <w:tcMar>
              <w:top w:w="0" w:type="dxa"/>
              <w:left w:w="0" w:type="dxa"/>
              <w:bottom w:w="0" w:type="dxa"/>
              <w:right w:w="0" w:type="dxa"/>
            </w:tcMar>
          </w:tcPr>
          <w:p w:rsidR="00E82963" w:rsidRDefault="009E7646">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E82963" w:rsidRDefault="009E7646">
            <w:pPr>
              <w:rPr>
                <w:color w:val="000000"/>
                <w:sz w:val="28"/>
                <w:szCs w:val="28"/>
                <w:u w:val="single"/>
              </w:rPr>
            </w:pPr>
            <w:r>
              <w:rPr>
                <w:color w:val="000000"/>
                <w:sz w:val="28"/>
                <w:szCs w:val="28"/>
                <w:u w:val="single"/>
              </w:rPr>
              <w:t>Администрация Гаврилов-Ямского муниципального района</w:t>
            </w:r>
          </w:p>
        </w:tc>
        <w:tc>
          <w:tcPr>
            <w:tcW w:w="1587" w:type="dxa"/>
            <w:tcMar>
              <w:top w:w="0" w:type="dxa"/>
              <w:left w:w="0" w:type="dxa"/>
              <w:bottom w:w="0" w:type="dxa"/>
              <w:right w:w="0" w:type="dxa"/>
            </w:tcMar>
            <w:vAlign w:val="bottom"/>
          </w:tcPr>
          <w:p w:rsidR="00E82963" w:rsidRDefault="009E7646">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E82963" w:rsidRDefault="009E7646">
            <w:pPr>
              <w:jc w:val="center"/>
              <w:rPr>
                <w:color w:val="000000"/>
                <w:sz w:val="28"/>
                <w:szCs w:val="28"/>
              </w:rPr>
            </w:pPr>
            <w:r>
              <w:rPr>
                <w:color w:val="000000"/>
                <w:sz w:val="28"/>
                <w:szCs w:val="28"/>
              </w:rPr>
              <w:t>850</w:t>
            </w:r>
          </w:p>
        </w:tc>
      </w:tr>
      <w:tr w:rsidR="00E82963">
        <w:trPr>
          <w:trHeight w:val="226"/>
        </w:trPr>
        <w:tc>
          <w:tcPr>
            <w:tcW w:w="3627" w:type="dxa"/>
            <w:gridSpan w:val="2"/>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E82963" w:rsidRDefault="009E7646">
            <w:pPr>
              <w:rPr>
                <w:color w:val="000000"/>
                <w:sz w:val="28"/>
                <w:szCs w:val="28"/>
                <w:u w:val="single"/>
              </w:rPr>
            </w:pPr>
            <w:r>
              <w:rPr>
                <w:color w:val="000000"/>
                <w:sz w:val="28"/>
                <w:szCs w:val="28"/>
                <w:u w:val="single"/>
              </w:rPr>
              <w:t>Бюджет Гаврилов-Ямского муниципального района</w:t>
            </w:r>
          </w:p>
        </w:tc>
        <w:tc>
          <w:tcPr>
            <w:tcW w:w="1587" w:type="dxa"/>
            <w:tcMar>
              <w:top w:w="0" w:type="dxa"/>
              <w:left w:w="0" w:type="dxa"/>
              <w:bottom w:w="0" w:type="dxa"/>
              <w:right w:w="0" w:type="dxa"/>
            </w:tcMar>
            <w:vAlign w:val="bottom"/>
          </w:tcPr>
          <w:p w:rsidR="00E82963" w:rsidRDefault="00E8296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E82963" w:rsidRDefault="00E82963">
            <w:pPr>
              <w:spacing w:line="1" w:lineRule="auto"/>
              <w:jc w:val="center"/>
            </w:pPr>
          </w:p>
        </w:tc>
      </w:tr>
      <w:tr w:rsidR="00E82963">
        <w:tc>
          <w:tcPr>
            <w:tcW w:w="3627" w:type="dxa"/>
            <w:gridSpan w:val="2"/>
            <w:vMerge w:val="restart"/>
            <w:tcMar>
              <w:top w:w="0" w:type="dxa"/>
              <w:left w:w="0" w:type="dxa"/>
              <w:bottom w:w="0" w:type="dxa"/>
              <w:right w:w="0" w:type="dxa"/>
            </w:tcMar>
            <w:vAlign w:val="bottom"/>
          </w:tcPr>
          <w:p w:rsidR="00E82963" w:rsidRDefault="009E7646">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E82963" w:rsidRDefault="00E82963">
            <w:pPr>
              <w:spacing w:line="1" w:lineRule="auto"/>
            </w:pPr>
          </w:p>
        </w:tc>
        <w:tc>
          <w:tcPr>
            <w:tcW w:w="1587" w:type="dxa"/>
            <w:tcMar>
              <w:top w:w="0" w:type="dxa"/>
              <w:left w:w="0" w:type="dxa"/>
              <w:bottom w:w="0" w:type="dxa"/>
              <w:right w:w="0" w:type="dxa"/>
            </w:tcMar>
            <w:vAlign w:val="bottom"/>
          </w:tcPr>
          <w:p w:rsidR="00E82963" w:rsidRDefault="009E7646">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E82963">
              <w:trPr>
                <w:jc w:val="center"/>
              </w:trPr>
              <w:tc>
                <w:tcPr>
                  <w:tcW w:w="1700" w:type="dxa"/>
                  <w:tcMar>
                    <w:top w:w="0" w:type="dxa"/>
                    <w:left w:w="0" w:type="dxa"/>
                    <w:bottom w:w="0" w:type="dxa"/>
                    <w:right w:w="0" w:type="dxa"/>
                  </w:tcMar>
                </w:tcPr>
                <w:p w:rsidR="00E82963" w:rsidRDefault="009E7646">
                  <w:pPr>
                    <w:jc w:val="center"/>
                  </w:pPr>
                  <w:r>
                    <w:rPr>
                      <w:color w:val="000000"/>
                      <w:sz w:val="28"/>
                      <w:szCs w:val="28"/>
                    </w:rPr>
                    <w:t>78612000</w:t>
                  </w:r>
                </w:p>
              </w:tc>
            </w:tr>
          </w:tbl>
          <w:p w:rsidR="00E82963" w:rsidRDefault="00E82963">
            <w:pPr>
              <w:spacing w:line="1" w:lineRule="auto"/>
            </w:pPr>
          </w:p>
        </w:tc>
      </w:tr>
      <w:tr w:rsidR="00E82963">
        <w:trPr>
          <w:hidden/>
        </w:trPr>
        <w:tc>
          <w:tcPr>
            <w:tcW w:w="7027" w:type="dxa"/>
            <w:gridSpan w:val="3"/>
            <w:vMerge w:val="restart"/>
            <w:tcMar>
              <w:top w:w="0" w:type="dxa"/>
              <w:left w:w="0" w:type="dxa"/>
              <w:bottom w:w="0" w:type="dxa"/>
              <w:right w:w="0" w:type="dxa"/>
            </w:tcMar>
            <w:vAlign w:val="bottom"/>
          </w:tcPr>
          <w:p w:rsidR="00E82963" w:rsidRDefault="00E8296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E82963">
              <w:tc>
                <w:tcPr>
                  <w:tcW w:w="7027" w:type="dxa"/>
                  <w:tcMar>
                    <w:top w:w="0" w:type="dxa"/>
                    <w:left w:w="0" w:type="dxa"/>
                    <w:bottom w:w="0" w:type="dxa"/>
                    <w:right w:w="0" w:type="dxa"/>
                  </w:tcMar>
                </w:tcPr>
                <w:p w:rsidR="00E82963" w:rsidRDefault="009E7646">
                  <w:r>
                    <w:rPr>
                      <w:color w:val="000000"/>
                      <w:sz w:val="28"/>
                      <w:szCs w:val="28"/>
                    </w:rPr>
                    <w:t>Периодичность: месячная, квартальная, годовая</w:t>
                  </w:r>
                </w:p>
              </w:tc>
            </w:tr>
          </w:tbl>
          <w:p w:rsidR="00E82963" w:rsidRDefault="00E82963">
            <w:pPr>
              <w:spacing w:line="1" w:lineRule="auto"/>
            </w:pPr>
          </w:p>
        </w:tc>
        <w:tc>
          <w:tcPr>
            <w:tcW w:w="1587" w:type="dxa"/>
            <w:tcMar>
              <w:top w:w="0" w:type="dxa"/>
              <w:left w:w="0" w:type="dxa"/>
              <w:bottom w:w="0" w:type="dxa"/>
              <w:right w:w="0" w:type="dxa"/>
            </w:tcMar>
            <w:vAlign w:val="bottom"/>
          </w:tcPr>
          <w:p w:rsidR="00E82963" w:rsidRDefault="00E82963">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82963" w:rsidRDefault="00E82963">
            <w:pPr>
              <w:spacing w:line="1" w:lineRule="auto"/>
              <w:jc w:val="center"/>
            </w:pPr>
          </w:p>
        </w:tc>
      </w:tr>
      <w:tr w:rsidR="00E82963">
        <w:trPr>
          <w:hidden/>
        </w:trPr>
        <w:tc>
          <w:tcPr>
            <w:tcW w:w="7027" w:type="dxa"/>
            <w:gridSpan w:val="3"/>
            <w:vMerge w:val="restart"/>
            <w:tcMar>
              <w:top w:w="0" w:type="dxa"/>
              <w:left w:w="0" w:type="dxa"/>
              <w:bottom w:w="0" w:type="dxa"/>
              <w:right w:w="0" w:type="dxa"/>
            </w:tcMar>
            <w:vAlign w:val="bottom"/>
          </w:tcPr>
          <w:p w:rsidR="00E82963" w:rsidRDefault="00E8296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E82963">
              <w:tc>
                <w:tcPr>
                  <w:tcW w:w="7027" w:type="dxa"/>
                  <w:tcMar>
                    <w:top w:w="0" w:type="dxa"/>
                    <w:left w:w="0" w:type="dxa"/>
                    <w:bottom w:w="0" w:type="dxa"/>
                    <w:right w:w="0" w:type="dxa"/>
                  </w:tcMar>
                </w:tcPr>
                <w:p w:rsidR="00E82963" w:rsidRDefault="009E7646">
                  <w:r>
                    <w:rPr>
                      <w:color w:val="000000"/>
                      <w:sz w:val="28"/>
                      <w:szCs w:val="28"/>
                    </w:rPr>
                    <w:t>Единица измерения: руб.</w:t>
                  </w:r>
                </w:p>
              </w:tc>
            </w:tr>
          </w:tbl>
          <w:p w:rsidR="00E82963" w:rsidRDefault="00E82963">
            <w:pPr>
              <w:spacing w:line="1" w:lineRule="auto"/>
            </w:pPr>
          </w:p>
        </w:tc>
        <w:tc>
          <w:tcPr>
            <w:tcW w:w="1587" w:type="dxa"/>
            <w:tcMar>
              <w:top w:w="0" w:type="dxa"/>
              <w:left w:w="0" w:type="dxa"/>
              <w:bottom w:w="0" w:type="dxa"/>
              <w:right w:w="0" w:type="dxa"/>
            </w:tcMar>
            <w:vAlign w:val="bottom"/>
          </w:tcPr>
          <w:p w:rsidR="00E82963" w:rsidRDefault="009E7646">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E82963" w:rsidRDefault="009E7646">
            <w:pPr>
              <w:jc w:val="center"/>
              <w:rPr>
                <w:color w:val="000000"/>
                <w:sz w:val="28"/>
                <w:szCs w:val="28"/>
              </w:rPr>
            </w:pPr>
            <w:r>
              <w:rPr>
                <w:color w:val="000000"/>
                <w:sz w:val="28"/>
                <w:szCs w:val="28"/>
              </w:rPr>
              <w:t>383</w:t>
            </w:r>
          </w:p>
        </w:tc>
      </w:tr>
    </w:tbl>
    <w:p w:rsidR="00E82963" w:rsidRDefault="00E82963">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E82963">
        <w:tc>
          <w:tcPr>
            <w:tcW w:w="2494" w:type="dxa"/>
            <w:tcMar>
              <w:top w:w="0" w:type="dxa"/>
              <w:left w:w="0" w:type="dxa"/>
              <w:bottom w:w="0" w:type="dxa"/>
              <w:right w:w="0" w:type="dxa"/>
            </w:tcMar>
          </w:tcPr>
          <w:p w:rsidR="00E82963" w:rsidRDefault="009E7646">
            <w:pPr>
              <w:jc w:val="center"/>
              <w:rPr>
                <w:color w:val="000000"/>
                <w:sz w:val="16"/>
                <w:szCs w:val="16"/>
              </w:rPr>
            </w:pPr>
            <w:r>
              <w:rPr>
                <w:color w:val="000000"/>
                <w:sz w:val="16"/>
                <w:szCs w:val="16"/>
              </w:rPr>
              <w:t xml:space="preserve"> </w:t>
            </w:r>
          </w:p>
        </w:tc>
        <w:tc>
          <w:tcPr>
            <w:tcW w:w="1133" w:type="dxa"/>
            <w:tcMar>
              <w:top w:w="0" w:type="dxa"/>
              <w:left w:w="0" w:type="dxa"/>
              <w:bottom w:w="0" w:type="dxa"/>
              <w:right w:w="0" w:type="dxa"/>
            </w:tcMar>
          </w:tcPr>
          <w:p w:rsidR="00E82963" w:rsidRDefault="00E82963">
            <w:pPr>
              <w:spacing w:line="1" w:lineRule="auto"/>
              <w:jc w:val="center"/>
            </w:pPr>
          </w:p>
        </w:tc>
        <w:tc>
          <w:tcPr>
            <w:tcW w:w="566" w:type="dxa"/>
            <w:tcMar>
              <w:top w:w="0" w:type="dxa"/>
              <w:left w:w="0" w:type="dxa"/>
              <w:bottom w:w="0" w:type="dxa"/>
              <w:right w:w="0" w:type="dxa"/>
            </w:tcMar>
          </w:tcPr>
          <w:p w:rsidR="00E82963" w:rsidRDefault="00E82963">
            <w:pPr>
              <w:spacing w:line="1" w:lineRule="auto"/>
              <w:jc w:val="center"/>
            </w:pPr>
          </w:p>
        </w:tc>
        <w:tc>
          <w:tcPr>
            <w:tcW w:w="2834" w:type="dxa"/>
            <w:tcMar>
              <w:top w:w="0" w:type="dxa"/>
              <w:left w:w="0" w:type="dxa"/>
              <w:bottom w:w="0" w:type="dxa"/>
              <w:right w:w="0" w:type="dxa"/>
            </w:tcMar>
          </w:tcPr>
          <w:p w:rsidR="00E82963" w:rsidRDefault="00E82963">
            <w:pPr>
              <w:spacing w:line="1" w:lineRule="auto"/>
              <w:jc w:val="center"/>
            </w:pPr>
          </w:p>
        </w:tc>
        <w:tc>
          <w:tcPr>
            <w:tcW w:w="1587" w:type="dxa"/>
            <w:tcMar>
              <w:top w:w="0" w:type="dxa"/>
              <w:left w:w="0" w:type="dxa"/>
              <w:bottom w:w="0" w:type="dxa"/>
              <w:right w:w="0" w:type="dxa"/>
            </w:tcMar>
          </w:tcPr>
          <w:p w:rsidR="00E82963" w:rsidRDefault="00E82963">
            <w:pPr>
              <w:spacing w:line="1" w:lineRule="auto"/>
              <w:jc w:val="center"/>
            </w:pPr>
          </w:p>
        </w:tc>
        <w:tc>
          <w:tcPr>
            <w:tcW w:w="1700" w:type="dxa"/>
            <w:tcMar>
              <w:top w:w="0" w:type="dxa"/>
              <w:left w:w="0" w:type="dxa"/>
              <w:bottom w:w="0" w:type="dxa"/>
              <w:right w:w="0" w:type="dxa"/>
            </w:tcMar>
          </w:tcPr>
          <w:p w:rsidR="00E82963" w:rsidRDefault="00E82963">
            <w:pPr>
              <w:spacing w:line="1" w:lineRule="auto"/>
              <w:jc w:val="center"/>
            </w:pPr>
          </w:p>
        </w:tc>
      </w:tr>
      <w:tr w:rsidR="00E82963">
        <w:trPr>
          <w:trHeight w:val="322"/>
        </w:trPr>
        <w:tc>
          <w:tcPr>
            <w:tcW w:w="10314" w:type="dxa"/>
            <w:gridSpan w:val="6"/>
            <w:vMerge w:val="restart"/>
            <w:tcMar>
              <w:top w:w="0" w:type="dxa"/>
              <w:left w:w="0" w:type="dxa"/>
              <w:bottom w:w="0" w:type="dxa"/>
              <w:right w:w="0" w:type="dxa"/>
            </w:tcMar>
          </w:tcPr>
          <w:p w:rsidR="00E82963" w:rsidRDefault="009E7646">
            <w:pPr>
              <w:jc w:val="center"/>
              <w:rPr>
                <w:b/>
                <w:bCs/>
                <w:color w:val="000000"/>
                <w:sz w:val="28"/>
                <w:szCs w:val="28"/>
              </w:rPr>
            </w:pPr>
            <w:r>
              <w:rPr>
                <w:b/>
                <w:bCs/>
                <w:color w:val="000000"/>
                <w:sz w:val="28"/>
                <w:szCs w:val="28"/>
              </w:rPr>
              <w:t>Общие сведения</w:t>
            </w:r>
          </w:p>
          <w:p w:rsidR="00E82963" w:rsidRDefault="009E7646">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82963">
              <w:tc>
                <w:tcPr>
                  <w:tcW w:w="10314" w:type="dxa"/>
                  <w:tcMar>
                    <w:top w:w="0" w:type="dxa"/>
                    <w:left w:w="0" w:type="dxa"/>
                    <w:bottom w:w="0" w:type="dxa"/>
                    <w:right w:w="0" w:type="dxa"/>
                  </w:tcMar>
                </w:tcPr>
                <w:p w:rsidR="00E82963" w:rsidRDefault="009E7646">
                  <w:pPr>
                    <w:jc w:val="both"/>
                  </w:pPr>
                  <w:r>
                    <w:rPr>
                      <w:color w:val="000000"/>
                      <w:sz w:val="28"/>
                      <w:szCs w:val="28"/>
                    </w:rPr>
                    <w:t>          </w:t>
                  </w:r>
                </w:p>
                <w:tbl>
                  <w:tblPr>
                    <w:tblOverlap w:val="never"/>
                    <w:tblW w:w="9360"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9360"/>
                  </w:tblGrid>
                  <w:tr w:rsidR="00E82963">
                    <w:tc>
                      <w:tcPr>
                        <w:tcW w:w="9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82963" w:rsidRDefault="009E7646">
                        <w:pPr>
                          <w:ind w:firstLine="440"/>
                          <w:jc w:val="both"/>
                        </w:pPr>
                        <w:r>
                          <w:rPr>
                            <w:color w:val="000000"/>
                            <w:sz w:val="29"/>
                            <w:szCs w:val="29"/>
                          </w:rPr>
                          <w:t xml:space="preserve">Полное наименование                        Администрация Гаврилов-Ямского                                                         муниципального района  ИНН                                                      7616001903 КПП                                                       761601001 Юридический адрес                       152240, Ярославская область, г. Гаврилов-Ям,                                                     ул. Советская, д.51 Дата государственной Регистрации                                       30.11.2005г. Регистрационный номер                          102760107198 ОКАТО                                              78212501000 Гаврилов-Ям ОКПО                                              01692773 ОКОГУ                                                32100 Другие органы местного самоуправления ОКОНХ                                               97600 Органы местного самоуправления ОКФС                                             14 Муниципальная собственность ОКОПФ                                      75404 Муниципальные казенные учреждения       Администрация Гаврилов-Ямского муниципального района осуществляет свою  деятельность на основании Устава Гаврилов-Ямского муниципального района, утвержденного Решением Собрания Представителей от 26.08.2005г. №110, Положения об Администрации Гаврилов-Ямского муниципального района, утвержденного Постановлением Главы Администрации от 11.01.2006 №4. Руководитель – Глава Администрации Гаврилов-Ямского муниципального района Комаров Алексей Александрович, вступил в </w:t>
                        </w:r>
                        <w:r>
                          <w:rPr>
                            <w:color w:val="000000"/>
                            <w:sz w:val="29"/>
                            <w:szCs w:val="29"/>
                          </w:rPr>
                          <w:lastRenderedPageBreak/>
                          <w:t>должность с 29.03.2019г. Постановление Администрации Гаврилов-Ямского муниципального района №335 от 29.03.2019г.</w:t>
                        </w:r>
                      </w:p>
                      <w:p w:rsidR="00E82963" w:rsidRDefault="009E7646">
                        <w:pPr>
                          <w:ind w:firstLine="440"/>
                          <w:jc w:val="both"/>
                        </w:pPr>
                        <w:r>
                          <w:rPr>
                            <w:color w:val="000000"/>
                            <w:sz w:val="29"/>
                            <w:szCs w:val="29"/>
                          </w:rPr>
                          <w:t>      Начальник отдела учета и отчетности - Главный бухгалтер – Подвальная Елена Борисовна, работает с 23.12.2010.  Распоряжение Администрации Гаврилов-Ямского муниципального района №110 л/с от 15.12.2010г.</w:t>
                        </w:r>
                      </w:p>
                      <w:p w:rsidR="00E82963" w:rsidRDefault="009E7646">
                        <w:pPr>
                          <w:ind w:firstLine="440"/>
                          <w:jc w:val="both"/>
                        </w:pPr>
                        <w:r>
                          <w:rPr>
                            <w:color w:val="000000"/>
                            <w:sz w:val="29"/>
                            <w:szCs w:val="29"/>
                          </w:rPr>
                          <w:t xml:space="preserve">        Основными задачами Администрации района являются:</w:t>
                        </w:r>
                      </w:p>
                      <w:p w:rsidR="00E82963" w:rsidRDefault="009E7646">
                        <w:pPr>
                          <w:ind w:firstLine="440"/>
                          <w:jc w:val="both"/>
                        </w:pPr>
                        <w:r>
                          <w:rPr>
                            <w:color w:val="000000"/>
                            <w:sz w:val="29"/>
                            <w:szCs w:val="29"/>
                          </w:rPr>
                          <w:t>      - решение вопросов местного значения, относящихся к ведению администрации района в соответствии с Уставом Гаврилов-Ямского муниципального района;</w:t>
                        </w:r>
                      </w:p>
                      <w:p w:rsidR="00E82963" w:rsidRDefault="009E7646">
                        <w:pPr>
                          <w:ind w:firstLine="440"/>
                          <w:jc w:val="both"/>
                        </w:pPr>
                        <w:r>
                          <w:rPr>
                            <w:color w:val="000000"/>
                            <w:sz w:val="29"/>
                            <w:szCs w:val="29"/>
                          </w:rPr>
                          <w:t>      - создание благоприятных условий для инвестирования и эффективного выполнения программ социально-экономического развития муниципального района;</w:t>
                        </w:r>
                      </w:p>
                      <w:p w:rsidR="00E82963" w:rsidRDefault="009E7646">
                        <w:pPr>
                          <w:ind w:firstLine="440"/>
                          <w:jc w:val="both"/>
                        </w:pPr>
                        <w:r>
                          <w:rPr>
                            <w:color w:val="000000"/>
                            <w:sz w:val="29"/>
                            <w:szCs w:val="29"/>
                          </w:rPr>
                          <w:t>      - осуществление отдельных государственных полномочий, переданных государственными органами.</w:t>
                        </w:r>
                      </w:p>
                      <w:p w:rsidR="00E82963" w:rsidRDefault="009E7646">
                        <w:pPr>
                          <w:ind w:firstLine="440"/>
                          <w:jc w:val="both"/>
                        </w:pPr>
                        <w:r>
                          <w:rPr>
                            <w:color w:val="000000"/>
                            <w:sz w:val="29"/>
                            <w:szCs w:val="29"/>
                          </w:rPr>
                          <w:t>      Отдел учета и отчетности осуществляет деятельность на основании Положения от отделе, утвержденного Постановлением Администрации муниципального района от 15.06.2016 № 637. Показатели бухгалтерской отчетности в представленном годовом отчете сформированы исходя из Положения об     учетной Политике , утвержденной Постановлением Администрации муниципального района от 19.12.2018 № 216 и нормативно-правовых актов, регулирующих ведение бухгалтерского учета и составление бухгалтерской отчетности.</w:t>
                        </w:r>
                      </w:p>
                      <w:p w:rsidR="00E82963" w:rsidRDefault="009E7646">
                        <w:pPr>
                          <w:ind w:firstLine="440"/>
                          <w:jc w:val="both"/>
                        </w:pPr>
                        <w:r>
                          <w:rPr>
                            <w:color w:val="000000"/>
                            <w:sz w:val="29"/>
                            <w:szCs w:val="29"/>
                          </w:rPr>
                          <w:t xml:space="preserve">       В соответствии с Положением об УП определение справедливой стоимости объекта основных средств, приобретенного в результате необменной операции, используется метод рыночных цен. Списание материальных запасов производится по  фактической стоимости.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82963" w:rsidRDefault="009E7646">
                        <w:pPr>
                          <w:ind w:firstLine="440"/>
                          <w:jc w:val="both"/>
                        </w:pPr>
                        <w:r>
                          <w:rPr>
                            <w:color w:val="000000"/>
                            <w:sz w:val="29"/>
                            <w:szCs w:val="29"/>
                          </w:rPr>
                          <w:t>      По вопросу попадания под Стандарт «Аренда»  договоров разработаны профессиональные суждения бухгалтера</w:t>
                        </w:r>
                      </w:p>
                      <w:p w:rsidR="00E82963" w:rsidRDefault="009E7646">
                        <w:pPr>
                          <w:ind w:firstLine="440"/>
                          <w:jc w:val="both"/>
                        </w:pPr>
                        <w:r>
                          <w:rPr>
                            <w:color w:val="000000"/>
                            <w:sz w:val="29"/>
                            <w:szCs w:val="29"/>
                          </w:rPr>
                          <w:t xml:space="preserve">       Сведения о видах экономической деятельности:</w:t>
                        </w:r>
                      </w:p>
                      <w:p w:rsidR="00E82963" w:rsidRDefault="009E7646">
                        <w:pPr>
                          <w:ind w:firstLine="440"/>
                          <w:jc w:val="both"/>
                        </w:pPr>
                        <w:r>
                          <w:rPr>
                            <w:color w:val="000000"/>
                            <w:sz w:val="29"/>
                            <w:szCs w:val="29"/>
                          </w:rPr>
                          <w:t>      Основной вид деятельности: 84.11.3 Деятельность органов местного самоуправления по управлению вопросами общего характера</w:t>
                        </w:r>
                      </w:p>
                    </w:tc>
                  </w:tr>
                  <w:tr w:rsidR="00E82963">
                    <w:tc>
                      <w:tcPr>
                        <w:tcW w:w="9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82963" w:rsidRDefault="00E82963">
                        <w:pPr>
                          <w:jc w:val="both"/>
                        </w:pPr>
                      </w:p>
                      <w:p w:rsidR="00E82963" w:rsidRDefault="00E82963">
                        <w:pPr>
                          <w:jc w:val="both"/>
                        </w:pPr>
                      </w:p>
                    </w:tc>
                  </w:tr>
                  <w:tr w:rsidR="00E82963">
                    <w:tc>
                      <w:tcPr>
                        <w:tcW w:w="9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82963" w:rsidRDefault="00E82963">
                        <w:pPr>
                          <w:jc w:val="both"/>
                        </w:pPr>
                      </w:p>
                      <w:p w:rsidR="00E82963" w:rsidRDefault="00E82963">
                        <w:pPr>
                          <w:jc w:val="both"/>
                        </w:pPr>
                      </w:p>
                      <w:p w:rsidR="00E82963" w:rsidRDefault="00E82963">
                        <w:pPr>
                          <w:jc w:val="center"/>
                        </w:pPr>
                      </w:p>
                      <w:p w:rsidR="00E82963" w:rsidRDefault="00E82963">
                        <w:pPr>
                          <w:jc w:val="center"/>
                        </w:pPr>
                      </w:p>
                    </w:tc>
                  </w:tr>
                  <w:tr w:rsidR="00E82963">
                    <w:tc>
                      <w:tcPr>
                        <w:tcW w:w="9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82963" w:rsidRDefault="00E82963">
                        <w:pPr>
                          <w:ind w:firstLine="440"/>
                          <w:jc w:val="both"/>
                        </w:pPr>
                      </w:p>
                      <w:p w:rsidR="00E82963" w:rsidRDefault="00E82963">
                        <w:pPr>
                          <w:ind w:firstLine="440"/>
                          <w:jc w:val="both"/>
                        </w:pPr>
                      </w:p>
                    </w:tc>
                  </w:tr>
                </w:tbl>
                <w:p w:rsidR="00E82963" w:rsidRDefault="00E82963">
                  <w:pPr>
                    <w:spacing w:line="1" w:lineRule="auto"/>
                  </w:pPr>
                </w:p>
              </w:tc>
            </w:tr>
          </w:tbl>
          <w:p w:rsidR="00E82963" w:rsidRDefault="009E7646">
            <w:pPr>
              <w:jc w:val="both"/>
              <w:rPr>
                <w:color w:val="000000"/>
                <w:sz w:val="28"/>
                <w:szCs w:val="28"/>
              </w:rPr>
            </w:pPr>
            <w:r>
              <w:rPr>
                <w:color w:val="000000"/>
                <w:sz w:val="28"/>
                <w:szCs w:val="28"/>
              </w:rPr>
              <w:lastRenderedPageBreak/>
              <w:t xml:space="preserve"> </w:t>
            </w:r>
          </w:p>
        </w:tc>
      </w:tr>
      <w:tr w:rsidR="00E82963">
        <w:trPr>
          <w:trHeight w:val="322"/>
        </w:trPr>
        <w:tc>
          <w:tcPr>
            <w:tcW w:w="10314" w:type="dxa"/>
            <w:gridSpan w:val="6"/>
            <w:vMerge w:val="restart"/>
            <w:tcMar>
              <w:top w:w="0" w:type="dxa"/>
              <w:left w:w="0" w:type="dxa"/>
              <w:bottom w:w="0" w:type="dxa"/>
              <w:right w:w="0" w:type="dxa"/>
            </w:tcMar>
          </w:tcPr>
          <w:p w:rsidR="00E82963" w:rsidRDefault="009E7646">
            <w:pPr>
              <w:jc w:val="center"/>
              <w:rPr>
                <w:b/>
                <w:bCs/>
                <w:color w:val="000000"/>
                <w:sz w:val="28"/>
                <w:szCs w:val="28"/>
              </w:rPr>
            </w:pPr>
            <w:r>
              <w:rPr>
                <w:b/>
                <w:bCs/>
                <w:color w:val="000000"/>
                <w:sz w:val="28"/>
                <w:szCs w:val="28"/>
              </w:rPr>
              <w:lastRenderedPageBreak/>
              <w:t>Раздел 1 «Организационная структура субъекта бюджетной отчетности»</w:t>
            </w:r>
          </w:p>
          <w:p w:rsidR="00E82963" w:rsidRDefault="009E7646">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82963">
              <w:tc>
                <w:tcPr>
                  <w:tcW w:w="10314" w:type="dxa"/>
                  <w:tcMar>
                    <w:top w:w="0" w:type="dxa"/>
                    <w:left w:w="0" w:type="dxa"/>
                    <w:bottom w:w="0" w:type="dxa"/>
                    <w:right w:w="0" w:type="dxa"/>
                  </w:tcMar>
                </w:tcPr>
                <w:p w:rsidR="00E82963" w:rsidRDefault="009E7646">
                  <w:pPr>
                    <w:jc w:val="both"/>
                  </w:pPr>
                  <w:r>
                    <w:rPr>
                      <w:color w:val="000000"/>
                      <w:sz w:val="28"/>
                      <w:szCs w:val="28"/>
                    </w:rPr>
                    <w:t>          </w:t>
                  </w:r>
                </w:p>
                <w:p w:rsidR="00E82963" w:rsidRDefault="009E7646">
                  <w:pPr>
                    <w:ind w:firstLine="440"/>
                    <w:jc w:val="both"/>
                  </w:pPr>
                  <w:r>
                    <w:rPr>
                      <w:color w:val="000000"/>
                      <w:sz w:val="29"/>
                      <w:szCs w:val="29"/>
                    </w:rPr>
                    <w:t xml:space="preserve">Администрация Гаврилов-Ямского муниципального района создана Постановлением  Главы Администрации Гаврилов-Ямского района № 1 от 16.12.1991г.     С целью оптимизации структуры Администрации муниципального района, Постановлением №186-р от 30.04.2019,  утверждена новая структура Администрации муниципального района. Введена ставка заместителя Главы.            В структуре Администрации Гаврилов-Ямского муниципального района 11 отделов: Отдел по организационной работе и муниципальной службе Отдел по муниципальным закупкам Отдел сельского хозяйства Отдел по делам несовершеннолетних и защите их прав Отдел записи актов гражданского состояния Отдел учета и отчетности Архивный отдел Отдел по МП, ГО и ЧС Отдел экономики, предпринимательской деятельности и инвестиций Отдел информатизации и связи , Юридический отдел.   В соответствии с Постановлением Администрации Гаврилов-Ямского муниципального района №71 от 19.01.2012г. было создано муниципальное казенное учреждение «Многофункциональный центр управления Гаврилов-Ямского муниципального района» с 02.02.2012г.     Основные цели МКУ «МЦУ»: - обеспечение устойчивого и непрерывного управления силами и средствами звеньев ТП РСЧС в ходе выполнения мероприятий по защите населения и территорий от чрезвычайных ситуаций, обеспечению управления мероприятиями ГО; - сбор, обработка и анализ оперативной информации об угрозе или фактах возникновения ЧС и ходе проведения аварийно-спасательных работ; - прием вызовов по номеру «112» и их анализ; - чистка, уборка в установленном порядке производственных помещений Администрации МР.  Согласно  Постановления Администрации Гаврилов-Ямского муниципального района №15 от 28.02.2013г. создана Контрольно-счетная комиссия Гаврилов-Ямского муниципального района. Учредителем КСК является Собрание представителей Гаврилов-Ямского муниципального района. Был заключен договор на ведение бухгалтерского учета КСК Гаврилов-Ямского муниципального района с Администрацией Гаврилов-Ямского муниципального района и Собранием представителей Гаврилов-Ямского муниципального района.  Основные задачи: - внешний муниципальный финансовый контроль в отношении органов местного самоуправления и муниципальных органов, муниципальных учреждений и унитарных предприятий Гаврилов-Ямского района, использующие имущество, находящееся в муниципальной собственности района; - в отношении иных организаций путем осуществления проверки соблюдения условий получения ими субсидий, кредитов, гарантий за счет средств бюджета Гаврилов-Ямского муниципального района в порядке контроля за деятельностью ГРБС (РБС), ПБС, предоставивших указанные средства, в случаях, если возможность проверок организаций установлена в договорах о предоставлении субсидий, кредитов, </w:t>
                  </w:r>
                  <w:r>
                    <w:rPr>
                      <w:color w:val="000000"/>
                      <w:sz w:val="29"/>
                      <w:szCs w:val="29"/>
                    </w:rPr>
                    <w:lastRenderedPageBreak/>
                    <w:t>гарантий за счет средств бюджета Гаврилов-Ямского муниципального района.  Для достижения целей КСК наделена контрольными, экспертно-аналитическими и информационными полномочиями. КСК вправе взаимодействовать с финансовыми контрольными органами, привлекать аудиторские организации или специалистов. Контрольно-счетная комиссия входит в структуру органов местного самоуправления Гаврилов-Ямского муниципального района и подотчетна Собранию представителей Гаврилов-Ямского муниципального района.  Администрация Гаврилов-Ямского муниципального района является учредителем Муниципального автономного учреждения редакции районной газеты «Гаврилов - Ямский вестник». В соответствии с Постановлением № 307 от 17.04.2008г. произошла смена типа учреждения и утвержден перечень имущества, закрепляемого за учреждением на праве оперативного управления, в том числе перечень объектов недвижимого имущества и особо ценного движимого имущества. Органом, осуществляющим управление учреждением, является Наблюдательный совет. В состав наблюдательного совета входят представители Администрации Гаврилов-Ямского муниципального района, Управления по имущественным и земельным отношениям Администрации Гаврилов-Ямского муниципального района, Управления финансов администрации Гаврилов-Ямского  муниципального района, представители работников учреждения.</w:t>
                  </w:r>
                </w:p>
              </w:tc>
            </w:tr>
          </w:tbl>
          <w:p w:rsidR="00E82963" w:rsidRDefault="009E7646">
            <w:pPr>
              <w:jc w:val="both"/>
              <w:rPr>
                <w:color w:val="000000"/>
                <w:sz w:val="28"/>
                <w:szCs w:val="28"/>
              </w:rPr>
            </w:pPr>
            <w:r>
              <w:rPr>
                <w:color w:val="000000"/>
                <w:sz w:val="28"/>
                <w:szCs w:val="28"/>
              </w:rPr>
              <w:lastRenderedPageBreak/>
              <w:t xml:space="preserve"> </w:t>
            </w:r>
          </w:p>
        </w:tc>
      </w:tr>
      <w:tr w:rsidR="00E82963">
        <w:trPr>
          <w:trHeight w:val="322"/>
        </w:trPr>
        <w:tc>
          <w:tcPr>
            <w:tcW w:w="10314" w:type="dxa"/>
            <w:gridSpan w:val="6"/>
            <w:vMerge w:val="restart"/>
            <w:tcMar>
              <w:top w:w="0" w:type="dxa"/>
              <w:left w:w="0" w:type="dxa"/>
              <w:bottom w:w="0" w:type="dxa"/>
              <w:right w:w="0" w:type="dxa"/>
            </w:tcMar>
          </w:tcPr>
          <w:p w:rsidR="00E82963" w:rsidRDefault="009E7646">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E82963" w:rsidRDefault="009E7646">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82963">
              <w:tc>
                <w:tcPr>
                  <w:tcW w:w="10314" w:type="dxa"/>
                  <w:tcMar>
                    <w:top w:w="0" w:type="dxa"/>
                    <w:left w:w="0" w:type="dxa"/>
                    <w:bottom w:w="0" w:type="dxa"/>
                    <w:right w:w="0" w:type="dxa"/>
                  </w:tcMar>
                </w:tcPr>
                <w:p w:rsidR="00E82963" w:rsidRDefault="009E7646">
                  <w:pPr>
                    <w:jc w:val="both"/>
                  </w:pPr>
                  <w:r>
                    <w:rPr>
                      <w:color w:val="000000"/>
                      <w:sz w:val="28"/>
                      <w:szCs w:val="28"/>
                    </w:rPr>
                    <w:t>          </w:t>
                  </w:r>
                </w:p>
                <w:p w:rsidR="00E82963" w:rsidRDefault="009E7646">
                  <w:pPr>
                    <w:jc w:val="both"/>
                  </w:pPr>
                  <w:r>
                    <w:rPr>
                      <w:color w:val="000000"/>
                      <w:sz w:val="29"/>
                      <w:szCs w:val="29"/>
                    </w:rPr>
                    <w:t>Штатная численность Администрации муниципального района на отчетную дату составляет  38 человек, в том числе-  1 Глава, 32 муниципальных служащих. Средняя зарплата по Администрации Гаврилов-Ямского муниципального района составила за отчетный период 37217 руб., в том числе  по муниципальным служащим  39045 руб.   Все муниципальные служащие имеют высшее образование. Штатная численность по КСК -2 единицы, в том числе 2 муниципальные служащие, средняя зарплата – 31042 руб. Штатная численность по МУ «МЦУ Гаврилов-Ямского района» - 30,25 единицы, средняя зарплата – 19069 руб.</w:t>
                  </w:r>
                </w:p>
                <w:p w:rsidR="00E82963" w:rsidRDefault="009E7646">
                  <w:pPr>
                    <w:jc w:val="both"/>
                  </w:pPr>
                  <w:r>
                    <w:rPr>
                      <w:color w:val="000000"/>
                      <w:sz w:val="29"/>
                      <w:szCs w:val="29"/>
                    </w:rPr>
                    <w:t xml:space="preserve">       На основании графика отпусков на 2020 год,  и справки, выданной  отделом по организационно-правовой работе сформирован счет 40160 « Резервы предстоящих расходов» в сумме 1600490 руб. 09 коп., в том числе по ст.211 – 1229255,06руб., ст.213 – 371235,03 руб. Количество дней отпуска за 2020 год, оставшимися неиспользованными  у сотрудников Администрации составило 696,69 день. Основное количество  дней неиспользованных отпусков образовалось у Начальника отдела информатизации и связи , консультанта отдела по муниципальным закупкам и  Начальника с/х отдела  в следствие высокой загруженности. По КСК количество неиспользованных дней отпуска составило 49 дня. По МУ МЦУ         количество неиспользованных дней отпуска составило  317,43 дней. На начало отчетного периода был сформирован резерв по  ст 297 - </w:t>
                  </w:r>
                  <w:r>
                    <w:rPr>
                      <w:color w:val="000000"/>
                      <w:sz w:val="29"/>
                      <w:szCs w:val="29"/>
                    </w:rPr>
                    <w:lastRenderedPageBreak/>
                    <w:t>14024356,40 руб. - Определение арбитражного суда ЯО от 15.11.2019г о привлечении к субсидиарной ответственности Администрацию муниципального района (по делу не состоятельности Шопшинского МП ЖКХ) Постановлением арбитражного суда апелляционной инстанции Дело № №А82-15353/2014 от 31.01.2020 было установлено жалобу конкурсного управляющего Шопшинского МУП оставить без удовлетворения.</w:t>
                  </w:r>
                </w:p>
                <w:p w:rsidR="00E82963" w:rsidRDefault="009E7646">
                  <w:pPr>
                    <w:jc w:val="both"/>
                  </w:pPr>
                  <w:r>
                    <w:rPr>
                      <w:color w:val="000000"/>
                      <w:sz w:val="29"/>
                      <w:szCs w:val="29"/>
                    </w:rPr>
                    <w:t xml:space="preserve">  По Администрации муниципального района сформированы доходы будущих периодов на 3 года по безвозмездным поступлениям, в том числе по соглашениям которые заключены в 2020 году, сумма составляет - 8010978 руб.</w:t>
                  </w:r>
                </w:p>
                <w:p w:rsidR="00E82963" w:rsidRDefault="009E7646">
                  <w:pPr>
                    <w:jc w:val="both"/>
                  </w:pPr>
                  <w:r>
                    <w:rPr>
                      <w:color w:val="000000"/>
                      <w:sz w:val="29"/>
                      <w:szCs w:val="29"/>
                    </w:rPr>
                    <w:t>    На счете 40150 «Расходы будущих периодов» отражены расходы, связанные с обязательным  страхованием а/машин ОСАГО по МУ «МЦУ Гаврилов-Ямского  района» и расходы на информационное обеспечение (неислючительные права) - 18656,51 руб. Так же на счете 40150 сформированы расходы на информационное обеспечение (неислючительные права) по Администрации мр   в сумме  66795,33  руб., по КСК –268,50 руб.</w:t>
                  </w:r>
                </w:p>
                <w:p w:rsidR="00E82963" w:rsidRDefault="009E7646">
                  <w:pPr>
                    <w:jc w:val="both"/>
                  </w:pPr>
                  <w:r>
                    <w:rPr>
                      <w:color w:val="000000"/>
                      <w:sz w:val="29"/>
                      <w:szCs w:val="29"/>
                    </w:rPr>
                    <w:t>В течение года работники отдел учета и отчетности приняли участие в семинаре по введению новых федеральных стандартов    учета для организаций государственного сектора с 2020 года Стоимость семинара – 5500,00 руб., участие в вебинаре по подготовке годовой отчетности – 2700,00 руб. Курсы повышения квалификации прошли Главый  бухгалтер ОУиО (5250руб), Ведущий специалист отдела ГОЧС Иванова Е.В.,(27000 руб.) консультант отдела по муниципальным закупкам Рыжова Ю.В.(10500руб.). Всего расходы на обучение составили 50950 руб.</w:t>
                  </w:r>
                </w:p>
                <w:p w:rsidR="00E82963" w:rsidRDefault="00E82963">
                  <w:pPr>
                    <w:jc w:val="both"/>
                  </w:pPr>
                </w:p>
                <w:p w:rsidR="00E82963" w:rsidRDefault="00E82963">
                  <w:pPr>
                    <w:jc w:val="both"/>
                  </w:pPr>
                </w:p>
                <w:p w:rsidR="00E82963" w:rsidRDefault="009E7646">
                  <w:pPr>
                    <w:jc w:val="both"/>
                  </w:pPr>
                  <w:r>
                    <w:rPr>
                      <w:color w:val="000000"/>
                      <w:sz w:val="29"/>
                      <w:szCs w:val="29"/>
                    </w:rPr>
                    <w:t>           Все сотрудники обеспечены техническими и программными средствами для выполнения своих должностных обязанностей. Бухгалтерский учет ведется с использованием программного комплекса «АС «Смета». Для организации схемы исполнения бюджета (формирование п/п, БА, ЛБО…) используется программное обеспечение АС «УРМ». Реестры на зарплату в сбербанк формируются с помощью программы Сбербанк-онлайн.</w:t>
                  </w:r>
                </w:p>
                <w:p w:rsidR="00E82963" w:rsidRDefault="009E7646">
                  <w:pPr>
                    <w:jc w:val="both"/>
                  </w:pPr>
                  <w:r>
                    <w:rPr>
                      <w:color w:val="000000"/>
                      <w:sz w:val="29"/>
                      <w:szCs w:val="29"/>
                    </w:rPr>
                    <w:t xml:space="preserve">         Заполнение и расчет фактических и прогнозируемых объемов закупаемой продукции и сдача «Отчета об объемах закупаемой продукции»  осуществляется в программе «АИС ПОЗ Формирование свода объема закупок».</w:t>
                  </w:r>
                </w:p>
                <w:p w:rsidR="00E82963" w:rsidRDefault="009E7646">
                  <w:pPr>
                    <w:jc w:val="both"/>
                  </w:pPr>
                  <w:r>
                    <w:rPr>
                      <w:color w:val="000000"/>
                      <w:sz w:val="29"/>
                      <w:szCs w:val="29"/>
                    </w:rPr>
                    <w:t>        Расчет платежей за выбросы загрязняющих веществ в атмосферный воздух стационарными объектами, размещение отходов производства и потребления производится   в «Модуле Природопользователя».</w:t>
                  </w:r>
                </w:p>
                <w:p w:rsidR="00E82963" w:rsidRDefault="009E7646">
                  <w:pPr>
                    <w:jc w:val="both"/>
                  </w:pPr>
                  <w:r>
                    <w:rPr>
                      <w:color w:val="000000"/>
                      <w:sz w:val="29"/>
                      <w:szCs w:val="29"/>
                    </w:rPr>
                    <w:t>        В  декабре 2020 по результатам аукциона в электронной форме был заключен контракт на поставку бумаги, на сумму 153831 руб.57коп. Сумма экономии по контракту составила 25504 руб.43 коп.</w:t>
                  </w:r>
                </w:p>
                <w:p w:rsidR="00E82963" w:rsidRDefault="009E7646">
                  <w:pPr>
                    <w:jc w:val="both"/>
                  </w:pPr>
                  <w:r>
                    <w:rPr>
                      <w:color w:val="000000"/>
                      <w:sz w:val="29"/>
                      <w:szCs w:val="29"/>
                    </w:rPr>
                    <w:t xml:space="preserve">       Полномочия администратора доходов бюджетов бюджетной системы Российской Федерации по формированию выписок, уведомлений по уточнению вида и принадлежности платежа осуществляются с использованием программы </w:t>
                  </w:r>
                  <w:r>
                    <w:rPr>
                      <w:color w:val="000000"/>
                      <w:sz w:val="29"/>
                      <w:szCs w:val="29"/>
                    </w:rPr>
                    <w:lastRenderedPageBreak/>
                    <w:t> АРМ СУФД-online.   Подготовка и формирование месячной и квартальной отчетности об исполнении бюджета осуществляется в программе  WEB - Консолидация. Формирование ,хранение, проверка отчетности ФНС, ФСС, ПФР, Росстат осуществляет в программном комплексе «СБиС».</w:t>
                  </w:r>
                </w:p>
                <w:p w:rsidR="00E82963" w:rsidRDefault="009E7646">
                  <w:pPr>
                    <w:jc w:val="both"/>
                  </w:pPr>
                  <w:r>
                    <w:rPr>
                      <w:color w:val="000000"/>
                      <w:sz w:val="29"/>
                      <w:szCs w:val="29"/>
                    </w:rPr>
                    <w:t xml:space="preserve">           Сохранность автомашин осуществляется путем централизованного наблюдения за средствами ОПС, экстренного выезда группы охраны, технического обслуживания средств ОПС, установленных на объекте (контракт № 1793-3 от 01.01.2019г. ООО «Ратник-Регион»). По охране зданий и основных средств, находящихся в них, по адресу ул. Советская д.51, д.53 заключены договоры с ФГУП «Охрана» и ОВО при Гаврилов-Ямском РОВД в услуги входит выезд наряда вневедомственной охраны по сигналу «тревога», поступившему с охраняемых объектов, осуществление эксплуатационно-технического обслуживания технических средств охраны.</w:t>
                  </w:r>
                </w:p>
                <w:p w:rsidR="00E82963" w:rsidRDefault="009E7646">
                  <w:pPr>
                    <w:jc w:val="both"/>
                  </w:pPr>
                  <w:r>
                    <w:rPr>
                      <w:color w:val="000000"/>
                      <w:sz w:val="29"/>
                      <w:szCs w:val="29"/>
                    </w:rPr>
                    <w:t>   Лимит остатка кассы на 2020 год утвержден Распоряжением 10-р от 30.01.2020г. в сумме 238 руб.46 копеек. Определено ответственное лицо за ведение кассовых операций и соблюдением кассовой наличности – Консультант-Зам гл бухгалтера Петрова О.Ю. Кассовые операции ведутся в соответствии с Указаниями Центробанка РФ от 11 марта 2014г. № 3210-У и Указаниями Центрального Банка РФ от 19 июня 2017 г. № 4416-У</w:t>
                  </w:r>
                </w:p>
                <w:p w:rsidR="00E82963" w:rsidRDefault="009E7646">
                  <w:pPr>
                    <w:jc w:val="both"/>
                  </w:pPr>
                  <w:r>
                    <w:rPr>
                      <w:color w:val="000000"/>
                      <w:sz w:val="29"/>
                      <w:szCs w:val="29"/>
                    </w:rPr>
                    <w:t xml:space="preserve">       Хранение наличных денег в кассе осуществляется в отдельной комнате, в сейфе. Ключи от сейфа хранятся у кассира и Руководителя учреждения. Помещение кассы оборудовано техническими средствами охранно-пожарной и тревожной сигнализации. Основные результаты деятельности нашли свое отражение в балансе.</w:t>
                  </w:r>
                </w:p>
              </w:tc>
            </w:tr>
          </w:tbl>
          <w:p w:rsidR="00E82963" w:rsidRDefault="009E7646">
            <w:pPr>
              <w:jc w:val="both"/>
              <w:rPr>
                <w:color w:val="000000"/>
                <w:sz w:val="28"/>
                <w:szCs w:val="28"/>
              </w:rPr>
            </w:pPr>
            <w:r>
              <w:rPr>
                <w:color w:val="000000"/>
                <w:sz w:val="28"/>
                <w:szCs w:val="28"/>
              </w:rPr>
              <w:lastRenderedPageBreak/>
              <w:t xml:space="preserve"> </w:t>
            </w:r>
          </w:p>
        </w:tc>
      </w:tr>
      <w:tr w:rsidR="00E82963">
        <w:trPr>
          <w:trHeight w:val="322"/>
        </w:trPr>
        <w:tc>
          <w:tcPr>
            <w:tcW w:w="10314" w:type="dxa"/>
            <w:gridSpan w:val="6"/>
            <w:vMerge w:val="restart"/>
            <w:tcMar>
              <w:top w:w="0" w:type="dxa"/>
              <w:left w:w="0" w:type="dxa"/>
              <w:bottom w:w="0" w:type="dxa"/>
              <w:right w:w="0" w:type="dxa"/>
            </w:tcMar>
          </w:tcPr>
          <w:p w:rsidR="00E82963" w:rsidRDefault="009E7646">
            <w:pPr>
              <w:jc w:val="center"/>
              <w:rPr>
                <w:b/>
                <w:bCs/>
                <w:color w:val="000000"/>
                <w:sz w:val="28"/>
                <w:szCs w:val="28"/>
              </w:rPr>
            </w:pPr>
            <w:r>
              <w:rPr>
                <w:b/>
                <w:bCs/>
                <w:color w:val="000000"/>
                <w:sz w:val="28"/>
                <w:szCs w:val="28"/>
              </w:rPr>
              <w:lastRenderedPageBreak/>
              <w:t>Раздел 3 «Анализ отчета об исполнении бюджета субъектом бюджетной отчетности»</w:t>
            </w:r>
          </w:p>
          <w:p w:rsidR="00E82963" w:rsidRDefault="009E7646">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82963">
              <w:tc>
                <w:tcPr>
                  <w:tcW w:w="10314" w:type="dxa"/>
                  <w:tcMar>
                    <w:top w:w="0" w:type="dxa"/>
                    <w:left w:w="0" w:type="dxa"/>
                    <w:bottom w:w="0" w:type="dxa"/>
                    <w:right w:w="0" w:type="dxa"/>
                  </w:tcMar>
                </w:tcPr>
                <w:p w:rsidR="00E82963" w:rsidRDefault="009E7646">
                  <w:pPr>
                    <w:jc w:val="both"/>
                  </w:pPr>
                  <w:r>
                    <w:rPr>
                      <w:color w:val="000000"/>
                      <w:sz w:val="28"/>
                      <w:szCs w:val="28"/>
                    </w:rPr>
                    <w:t>          </w:t>
                  </w:r>
                </w:p>
                <w:p w:rsidR="00E82963" w:rsidRDefault="009E7646">
                  <w:pPr>
                    <w:jc w:val="both"/>
                  </w:pPr>
                  <w:r>
                    <w:rPr>
                      <w:color w:val="000000"/>
                      <w:sz w:val="27"/>
                      <w:szCs w:val="27"/>
                    </w:rPr>
                    <w:t>Бюджетная роспись по ГРБС Администрация Гаврилов-Ямского муниципального района с начала года уменьшилась на 2734982 рублей. Сняты ассигнования с раздела 0111 (Резервный фонд) в сумме 478200 руб., с раздела 0104 снято 25115,64 руб. По разделу 0113 сняты ассигнования по субвенции на проведение переписи населения – 496650 руб. С МП Поддержка и развитие малого и среднего предпринимательства сняты ассигнования по разделу 0412 - 30000 руб.,по разделу 0405 сняты ассигнования – 1508454 руб., в том числе по программам: МП Развитие с/х в Гаврилов-Ямского районе снято - 604000 руб.,по Субвенция на отлов, содержание и возврат животных без владельцев на прежние места их обитания снято 59678 руб. Субсидия на реализацию мероприятий по борьбе с борщевиком Сосновского снято - 844776 руб. С раздела 0707 МЦП «Профилактика безнадзорности, правонарушений и защита прав несовершеннолетних в Гаврилов-Ямском районе» сняты ассигнования в сумме 90 тыс. руб. (в УО).ПО разделу 0309 по программе профилактика экстремизма, терроризма сняты ассигнования в сумме 5000 руб., по предупреждению ликвидации последствий чс снято - 40000 руб. По собранию представителей раздел 0103 снято - 27000 руб. </w:t>
                  </w:r>
                </w:p>
                <w:p w:rsidR="00E82963" w:rsidRDefault="009E7646">
                  <w:pPr>
                    <w:jc w:val="both"/>
                  </w:pPr>
                  <w:r>
                    <w:rPr>
                      <w:color w:val="000000"/>
                      <w:sz w:val="27"/>
                      <w:szCs w:val="27"/>
                    </w:rPr>
                    <w:lastRenderedPageBreak/>
                    <w:t>По разделу 0412 дополнительно открыто 62590 руб. по субсидии ОЦП Поддержка потребительского рынка на селе в части возмещения затрат организациям любых форм собственности и ИП, занимающихся доставкой товаров в отдаленные сельские населенные пункты. По разделу 0113 дополнительно открыто 2392764 руб., в том числе на проведение переписи - 496650 руб., из резервного фонда ЯО на проведение референдума по конституции - 1042300 руб., на оплату членских взносов в ассоциацию районов - 58624 руб., размещение информационного материала - 60000 руб.,субвенция ЗАГС РФ - 606519 руб., Субвенция КДН – 127956руб., Субвенция на административную комиссию – 715 руб. По разделу 1202(редакция) дополнительно открыто 141600 руб.   Дополнительно открыто на з/плату с начислениями в связи с повышением 4% по разделу 0102 (Глава) - 68 тыс. руб.,по разделу 0104 - 1675 тыс. руб.,на выплату премии за счет мбт на поощрение достижения наилучших значений показателей по отдельным направлениям развития мо – 821000 руб., на прочие по 0104 -27000 руб. По разделу 0412 дополнительно открыто 62590 руб. по мп на возмещение расходов по доставке грузов в отдаленные пункты. По КСК раздел 0106- 44 тыс. руб. По МУ МЦУ по разделу 0113 дополнительно открыты ассигнования в сумме 900,3 тыс руб.в том числе: </w:t>
                  </w:r>
                </w:p>
                <w:p w:rsidR="00E82963" w:rsidRDefault="009E7646">
                  <w:pPr>
                    <w:spacing w:before="190" w:after="190"/>
                    <w:jc w:val="both"/>
                  </w:pPr>
                  <w:r>
                    <w:rPr>
                      <w:color w:val="000000"/>
                      <w:sz w:val="27"/>
                      <w:szCs w:val="27"/>
                    </w:rPr>
                    <w:t>- на приобретение основных средств 126,1 тыс. руб.;</w:t>
                  </w:r>
                </w:p>
                <w:p w:rsidR="00E82963" w:rsidRDefault="009E7646">
                  <w:pPr>
                    <w:spacing w:before="190" w:after="190"/>
                    <w:jc w:val="both"/>
                  </w:pPr>
                  <w:r>
                    <w:rPr>
                      <w:color w:val="000000"/>
                      <w:sz w:val="27"/>
                      <w:szCs w:val="27"/>
                    </w:rPr>
                    <w:t>- Ремонт (текущий и капитальный) и реставрация нефинансовых активов 85,2 тыс. руб.;</w:t>
                  </w:r>
                </w:p>
                <w:p w:rsidR="00E82963" w:rsidRDefault="009E7646">
                  <w:pPr>
                    <w:spacing w:before="190" w:after="190"/>
                    <w:jc w:val="both"/>
                  </w:pPr>
                  <w:r>
                    <w:rPr>
                      <w:color w:val="000000"/>
                      <w:sz w:val="27"/>
                      <w:szCs w:val="27"/>
                    </w:rPr>
                    <w:t>- Заработная плата, начисления на выплаты по оплате труда 679,0 тыс. руб.;</w:t>
                  </w:r>
                </w:p>
                <w:p w:rsidR="00E82963" w:rsidRDefault="009E7646">
                  <w:pPr>
                    <w:jc w:val="both"/>
                  </w:pPr>
                  <w:r>
                    <w:rPr>
                      <w:color w:val="000000"/>
                      <w:sz w:val="27"/>
                      <w:szCs w:val="27"/>
                    </w:rPr>
                    <w:t>по 0309:</w:t>
                  </w:r>
                </w:p>
                <w:p w:rsidR="00E82963" w:rsidRDefault="009E7646">
                  <w:pPr>
                    <w:jc w:val="both"/>
                  </w:pPr>
                  <w:r>
                    <w:rPr>
                      <w:color w:val="000000"/>
                      <w:sz w:val="27"/>
                      <w:szCs w:val="27"/>
                    </w:rPr>
                    <w:t>- Расходы на создание комплексной многоуровневой системы обеспечения общественной безопасности, правопорядка и безопасности жизнедеятельности населения 10тыс.руб.</w:t>
                  </w:r>
                </w:p>
                <w:p w:rsidR="00E82963" w:rsidRDefault="009E7646">
                  <w:pPr>
                    <w:spacing w:before="190" w:after="190"/>
                    <w:jc w:val="both"/>
                  </w:pPr>
                  <w:r>
                    <w:rPr>
                      <w:color w:val="000000"/>
                      <w:sz w:val="27"/>
                      <w:szCs w:val="27"/>
                    </w:rPr>
                    <w:t> В течении года была снята роспись в сумме 720 тыс.руб., в том числе:</w:t>
                  </w:r>
                </w:p>
                <w:p w:rsidR="00E82963" w:rsidRDefault="009E7646">
                  <w:pPr>
                    <w:jc w:val="both"/>
                  </w:pPr>
                  <w:r>
                    <w:rPr>
                      <w:color w:val="000000"/>
                      <w:sz w:val="27"/>
                      <w:szCs w:val="27"/>
                    </w:rPr>
                    <w:t>- с 0309 на сумму 720,0 тыс.руб.</w:t>
                  </w:r>
                </w:p>
                <w:p w:rsidR="00E82963" w:rsidRDefault="009E7646">
                  <w:pPr>
                    <w:jc w:val="both"/>
                  </w:pPr>
                  <w:r>
                    <w:rPr>
                      <w:color w:val="000000"/>
                      <w:sz w:val="27"/>
                      <w:szCs w:val="27"/>
                    </w:rPr>
                    <w:t>         - с 0309 по МЦП "Создание местной системы оповещения населения Гаврилов-Ямского муниципального района об опасностях, возникающих при военных конфликтах или вследствие этих конфликтов, а также вследствие чрезвычайных ситуаций природного и техногенного характера". </w:t>
                  </w:r>
                </w:p>
                <w:p w:rsidR="00E82963" w:rsidRDefault="009E7646">
                  <w:pPr>
                    <w:jc w:val="both"/>
                  </w:pPr>
                  <w:r>
                    <w:rPr>
                      <w:color w:val="000000"/>
                      <w:sz w:val="27"/>
                      <w:szCs w:val="27"/>
                    </w:rPr>
                    <w:t>          </w:t>
                  </w:r>
                </w:p>
                <w:p w:rsidR="00E82963" w:rsidRDefault="009E7646">
                  <w:pPr>
                    <w:jc w:val="both"/>
                  </w:pPr>
                  <w:r>
                    <w:rPr>
                      <w:color w:val="000000"/>
                      <w:sz w:val="27"/>
                      <w:szCs w:val="27"/>
                    </w:rPr>
                    <w:t>          Разъяснения к форме 0503164 «Сведения об исполнении бюджета» Решением Собрания представителей № 23 от 19.12.2019г. «О бюджете Гаврилов-Ямского района на 2020 год и на плановый период 2021-2022 годов» доходная часть бюджета по администрируемым доходам утверждена в сумме 9 114 898 руб. Доходная часть бюджета за 2020 год выполнена в сумме 9067675 руб.07 коп. или на 99,48%. Расходная часть бюджета утверждена в сумме 41307415 руб.82коп. выполнена в сумме 39921512 руб.14коп., или на 96,64%. Основные причины не исполнения бюджета это отсутствие расходов по резервному фонду, невозможность заключения государственного контракта по итогам конкурса по субвенции на отлов и содержание безнадзорных животных.</w:t>
                  </w:r>
                </w:p>
              </w:tc>
            </w:tr>
          </w:tbl>
          <w:p w:rsidR="00E82963" w:rsidRDefault="009E7646">
            <w:pPr>
              <w:jc w:val="both"/>
              <w:rPr>
                <w:color w:val="000000"/>
                <w:sz w:val="28"/>
                <w:szCs w:val="28"/>
              </w:rPr>
            </w:pPr>
            <w:r>
              <w:rPr>
                <w:color w:val="000000"/>
                <w:sz w:val="28"/>
                <w:szCs w:val="28"/>
              </w:rPr>
              <w:lastRenderedPageBreak/>
              <w:t xml:space="preserve"> </w:t>
            </w:r>
          </w:p>
        </w:tc>
      </w:tr>
      <w:tr w:rsidR="00E82963">
        <w:trPr>
          <w:trHeight w:val="322"/>
        </w:trPr>
        <w:tc>
          <w:tcPr>
            <w:tcW w:w="10314" w:type="dxa"/>
            <w:gridSpan w:val="6"/>
            <w:vMerge w:val="restart"/>
            <w:tcMar>
              <w:top w:w="0" w:type="dxa"/>
              <w:left w:w="0" w:type="dxa"/>
              <w:bottom w:w="0" w:type="dxa"/>
              <w:right w:w="0" w:type="dxa"/>
            </w:tcMar>
          </w:tcPr>
          <w:p w:rsidR="00E82963" w:rsidRDefault="009E7646">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E82963" w:rsidRDefault="009E7646">
            <w:pPr>
              <w:jc w:val="both"/>
              <w:rPr>
                <w:color w:val="000000"/>
                <w:sz w:val="28"/>
                <w:szCs w:val="28"/>
              </w:rPr>
            </w:pPr>
            <w:r>
              <w:rPr>
                <w:color w:val="000000"/>
                <w:sz w:val="28"/>
                <w:szCs w:val="28"/>
              </w:rPr>
              <w:lastRenderedPageBreak/>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82963">
              <w:tc>
                <w:tcPr>
                  <w:tcW w:w="10314" w:type="dxa"/>
                  <w:tcMar>
                    <w:top w:w="0" w:type="dxa"/>
                    <w:left w:w="0" w:type="dxa"/>
                    <w:bottom w:w="0" w:type="dxa"/>
                    <w:right w:w="0" w:type="dxa"/>
                  </w:tcMar>
                </w:tcPr>
                <w:p w:rsidR="00E82963" w:rsidRDefault="009E7646">
                  <w:pPr>
                    <w:jc w:val="both"/>
                  </w:pPr>
                  <w:r>
                    <w:rPr>
                      <w:color w:val="000000"/>
                      <w:sz w:val="28"/>
                      <w:szCs w:val="28"/>
                    </w:rPr>
                    <w:t>          </w:t>
                  </w:r>
                </w:p>
                <w:p w:rsidR="00E82963" w:rsidRDefault="009E7646">
                  <w:pPr>
                    <w:spacing w:before="190" w:after="190"/>
                    <w:jc w:val="both"/>
                  </w:pPr>
                  <w:r>
                    <w:rPr>
                      <w:color w:val="000000"/>
                      <w:sz w:val="29"/>
                      <w:szCs w:val="29"/>
                    </w:rPr>
                    <w:t>Разъяснения к форме 0503130 "Баланс ГРБС, ПБС..."</w:t>
                  </w:r>
                </w:p>
                <w:p w:rsidR="00E82963" w:rsidRDefault="009E7646">
                  <w:pPr>
                    <w:jc w:val="both"/>
                  </w:pPr>
                  <w:r>
                    <w:rPr>
                      <w:color w:val="000000"/>
                      <w:sz w:val="29"/>
                      <w:szCs w:val="29"/>
                    </w:rPr>
                    <w:t>      по строке 251 «Долгосрочная дебиторская задолженность по доходам» в общей сумме 5017353 руб. отражена сумма дебиторской задолженности по Субвенции на обеспечение профилактики безнадзорности, правонарушений несовершеннолетних и защиты их прав - 1736169 руб.,субвенция на реализацию отдельных полномочий в сфере законодательства об административных правонарушениях - 374158 руб., субвенция на государственную регистрацию актов гражданского состояния - 3244026 руб.,  в 2022-2023 гг. по графе 6 по счету 1.205.51.000.</w:t>
                  </w:r>
                </w:p>
                <w:p w:rsidR="00E82963" w:rsidRDefault="009E7646">
                  <w:pPr>
                    <w:jc w:val="both"/>
                  </w:pPr>
                  <w:r>
                    <w:rPr>
                      <w:color w:val="000000"/>
                      <w:sz w:val="29"/>
                      <w:szCs w:val="29"/>
                    </w:rPr>
                    <w:t>      Начисление амортизации на объекты основных средств осуществляется  линейным методом. Срок полезного использования объектов основных средств устанавливает комиссия по поступлению и выбытию.    Стоимость основных средств на конец отчетного периода составила 21896081,45 руб., остаточная стоимость – 2709220,87руб.  За 2020год выбытие основных средств и вложений в НФА  составило 10717966,77 руб., в том числе по Администрации МР были безвозмездно переданы МУ ДО ДШИ комплект спортивно-технологического оборудования для спортивной площадки – 2968136,47, по школам района передано основных средств на сумму 7174117,07 , в том числе 3 автобуса – 6285880,65 руб. Внутреннее перемещение ОС составило по Администрации -  8001027,65руб.   Списано ОС – на 10100руб.   В МУ МЦУ (внутриведомственные расчеты)передан хозяйственный инвентарь – 89974,23 руб.  По МУ МЦУ внутреннее перемещение 1058220,50 руб. (передача мц др мол). Списано на забалансовый счет ОС, до 10 тыс. руб – 107496,00 руб.  Приобретено и списано ОС 361468 руб. (через 106 счет). .</w:t>
                  </w:r>
                </w:p>
                <w:p w:rsidR="00E82963" w:rsidRDefault="009E7646">
                  <w:pPr>
                    <w:jc w:val="both"/>
                  </w:pPr>
                  <w:r>
                    <w:rPr>
                      <w:color w:val="000000"/>
                      <w:sz w:val="29"/>
                      <w:szCs w:val="29"/>
                    </w:rPr>
                    <w:t xml:space="preserve">Приобретено и получено ОС и вложений в ОС на сумму 8895054 руб.69 коп. Внутреннее перемещение в результате передачи мц от одного МОЛ другому составило 6059248,15 руб. Приобретено ОС – 350353 руб., переведены из МЗ в ОС -11115 руб.( В кск переведен из материалов системный блок через 106 счет – 6675 руб., в Администрации колонки - 740руб.,монтаж домофона - 3700 руб.)  По Администрации получено безвозмездно от Департамента образования автобусы – 6285880,65 руб., от департамента региональной безопасности   баннер – 3553,38руб., от ГКУ Агентства по обеспечению функционирования системы образования основных средств на сумму – 690683,04 руб., ГКУ ЯО Безопасный регион приемник оповещения – 70588,23. Получено в оперативное управление от управления финансов принтер - 4909,16 руб.(КСК), от МБУ Центр народного творчества  (автобус, терминал,домкрат)– 1026530,00 руб. По внутриведомственным расчетам от Администрации мр в МУ МЦУ передано ОС на сумму 19386 руб. Приобретено и списано ОС 361468 руб. В порядке внутриведомственных расчетов с МУ МЦУ получены ОС на сумму 89974,23 руб. Изменений остаточной стоимости объектов основных средств в результате </w:t>
                  </w:r>
                  <w:r>
                    <w:rPr>
                      <w:color w:val="000000"/>
                      <w:sz w:val="29"/>
                      <w:szCs w:val="29"/>
                    </w:rPr>
                    <w:lastRenderedPageBreak/>
                    <w:t>признания в отношении их убытков от обесценения активов не было. Сумма накопленной амортизации по объектам основных средств   31.12.2020г. составила 19186860,58 руб.    </w:t>
                  </w:r>
                </w:p>
                <w:p w:rsidR="00E82963" w:rsidRDefault="009E7646">
                  <w:pPr>
                    <w:jc w:val="both"/>
                  </w:pPr>
                  <w:r>
                    <w:rPr>
                      <w:color w:val="000000"/>
                      <w:sz w:val="29"/>
                      <w:szCs w:val="29"/>
                    </w:rPr>
                    <w:t>      Остаток по вложениям в основные средства сформировался в результате приобретения через электронный магазин проектно-сметной документации по установке местной системы оповещения - 51199 руб. (пойдет на увеличение стоимости системы оповещения).</w:t>
                  </w:r>
                </w:p>
                <w:p w:rsidR="00E82963" w:rsidRDefault="009E7646">
                  <w:pPr>
                    <w:jc w:val="both"/>
                  </w:pPr>
                  <w:r>
                    <w:rPr>
                      <w:color w:val="000000"/>
                      <w:sz w:val="29"/>
                      <w:szCs w:val="29"/>
                    </w:rPr>
                    <w:t>         Изменений кадастровой стоимости земельных участков на 01.01.2021г. не было.</w:t>
                  </w:r>
                </w:p>
                <w:p w:rsidR="00E82963" w:rsidRDefault="009E7646">
                  <w:pPr>
                    <w:jc w:val="both"/>
                  </w:pPr>
                  <w:r>
                    <w:rPr>
                      <w:color w:val="000000"/>
                      <w:sz w:val="29"/>
                      <w:szCs w:val="29"/>
                    </w:rPr>
                    <w:t>        Сохранность а/машин осуществляется путем централизованного наблюдения за средствами ОПС, экстренного выезда группы охраны, технического обслуживания средств ОПС, установленных на объекте (договор № 216-3 от 01.01.2018г. ООО «Ратник-Регион») . По охране зданий и основных средств, находящихся в них, по адресу ул. Советская д.51, д.53 заключены договоры с ФГУП «Охрана» и ОВО при Гаврилов-Ямском РОВД в услуги входит выезд наряда вневедомственной охраны по сигналу «тревога» ,поступившему с охраняемых объектов, осуществление эксплуатационно-технического обслуживания технических средств. </w:t>
                  </w:r>
                </w:p>
                <w:p w:rsidR="00E82963" w:rsidRDefault="009E7646">
                  <w:pPr>
                    <w:jc w:val="both"/>
                  </w:pPr>
                  <w:r>
                    <w:rPr>
                      <w:color w:val="000000"/>
                      <w:sz w:val="29"/>
                      <w:szCs w:val="29"/>
                    </w:rPr>
                    <w:t>    По забалансовому счету 09 списаны запчасти к автомобилям, взамен установленных,и автошины   на сумму 55906 руб.   По забалансовому счету 015 приобретено неисключительных прав на программное обеспечение и поставлены на учет договоры аренды всего на сумму 230726,17 руб., в т.ч. МУ МЦУ по Гаврилов-Ямскому МР право использования  СБиС++ – 7240 руб., право использования неискл права Kaspersky - 5460,00 руб. (5 шт)  (договор аренды помещения - 100063,76 руб. 2019 год) По КСК право исп программы для ЭВМ Dr Web Security Space 1074 руб. (2 шт.),  (договор на аренду помещения - 33873,41руб.).  По Администрации мр  право использования  СБиС++ – 11080 руб.,неискл права Kaspersky – 35448,00 руб. (26 шт),лицензия на ПО Управление сайтом 1С Битрикс – 21691 руб.25 коп.,операционные системы Windows 4шт. на сумму 42600руб.   По забалансовому счету 015 списаны по Администрации МР неисключительные права   на сумму 61717,00 руб. По забалансовому 02 счету в течение года утилизированы в ООО "Дельта" компьютерная техника – 331143,70 руб., лампы люминесцентные – 1683,33 руб.  </w:t>
                  </w:r>
                </w:p>
                <w:p w:rsidR="00E82963" w:rsidRDefault="009E7646">
                  <w:pPr>
                    <w:jc w:val="both"/>
                  </w:pPr>
                  <w:r>
                    <w:rPr>
                      <w:color w:val="000000"/>
                      <w:sz w:val="29"/>
                      <w:szCs w:val="29"/>
                    </w:rPr>
                    <w:t xml:space="preserve">                   Разъяснения к форме 0503169 «Сведения по дебиторской и кредиторской задолженности».  Дебиторская задолженность на 01.01.2021 г. составила 8052088 руб.06 коп., в том числе:   по счету 20626 - 5062,01 руб.-  подписка «Урал Пресс Север» , по счету 20821 - 4064,00 руб. - в подотчете ( знаки почтовой оплаты);по счету 20936 -   349 руб. 36 коп. задолженность по переплате лимита за сотовую связь за декабрь 2020 года. Дебиторская задолженность по счету 20551 составила 8039412 руб.69 коп., в т.ч. долгосрочная (2022,2023гг) – 5017353 руб. В соответствии с федеральным стандартом бухгалтерского учета для организаций государственного сектора, утвержденным приказом Минфина России от 27 февраля 2018 года № 32н « Доходы» и Законом Ярославской области от </w:t>
                  </w:r>
                  <w:r>
                    <w:rPr>
                      <w:color w:val="000000"/>
                      <w:sz w:val="29"/>
                      <w:szCs w:val="29"/>
                    </w:rPr>
                    <w:lastRenderedPageBreak/>
                    <w:t>20.12.2019 № 80-з «Об областном бюджете на 2020 год и на плановый период 2021,2022 гг»  в сумму дебиторской задолженности вошли  субвенции по которым отсутствуют соглашения,  размер по которым определяется по методике, утвержденной Законом Ярославской области от 19 декабря 2009 год № 70-з: Субвенция на обеспечение профилактики безнадзорности, правонарушений   несовершеннолетних и защиты их прав – 2788960 руб., Субвенция на реализацию отдельных полномочий в сфере законодательства об административных правонарушениях – 58737 руб., Субвенция бюджетам муниципальных районов на  государственную  регистрацию актов гражданского состояния – 4483239 руб. Так же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соглашения по которым были заключены в 2020 году.– 680042 руб.  Дебиторская задолженность на начало года по счету 20545 составила 15595,20 руб. в связи с изменением остатков валюты баланса , в связи с исправлением ошибок прошлых лет, т.к. данная задолженность является задолженностью 2019 года по административным штрафам, право требования на которые возникло в 2019 году, при наличии кассовых поступлений доходов в 2020 году по КБК, применяемых в рамках погашения дебиторской задолженности, образовавшейся до 1 января 2020 год. </w:t>
                  </w:r>
                </w:p>
                <w:p w:rsidR="00E82963" w:rsidRDefault="009E7646">
                  <w:pPr>
                    <w:spacing w:before="190" w:after="190"/>
                    <w:jc w:val="both"/>
                  </w:pPr>
                  <w:r>
                    <w:rPr>
                      <w:color w:val="000000"/>
                      <w:sz w:val="29"/>
                      <w:szCs w:val="29"/>
                    </w:rPr>
                    <w:t> Кредиторская задолженность составила 16918,81 руб., в том числе:   8422,80 руб. – за услуги связи Ростелекому;  3150,94 руб. -  за услуги сотовой связи ОАО «Вымпелком»;  5345,07 руб. - за эл.энергию ПАО "ТНС энерго Ярославль".</w:t>
                  </w:r>
                </w:p>
                <w:p w:rsidR="00E82963" w:rsidRDefault="009E7646">
                  <w:pPr>
                    <w:jc w:val="both"/>
                  </w:pPr>
                  <w:r>
                    <w:rPr>
                      <w:color w:val="000000"/>
                      <w:sz w:val="29"/>
                      <w:szCs w:val="29"/>
                    </w:rPr>
                    <w:t>      Разъяснения к форме 0503171 «Сведения о финансовых вложениях получателя бюджетных средств, администратора источников финансирования бюджета».</w:t>
                  </w:r>
                </w:p>
                <w:p w:rsidR="00E82963" w:rsidRDefault="009E7646">
                  <w:pPr>
                    <w:jc w:val="both"/>
                  </w:pPr>
                  <w:r>
                    <w:rPr>
                      <w:color w:val="000000"/>
                      <w:sz w:val="29"/>
                      <w:szCs w:val="29"/>
                    </w:rPr>
                    <w:t>         На начало 2020 года сумма финансовых вложений составили 688 785 руб. 52 коп., равной балансовой стоимости ОЦИ. В том числе по виду вложения: участие в государственных (муниципальных) учреждениях. За отчетный период   поступили  </w:t>
                  </w:r>
                </w:p>
                <w:p w:rsidR="00E82963" w:rsidRDefault="009E7646">
                  <w:pPr>
                    <w:jc w:val="both"/>
                  </w:pPr>
                  <w:r>
                    <w:rPr>
                      <w:color w:val="000000"/>
                      <w:sz w:val="29"/>
                      <w:szCs w:val="29"/>
                    </w:rPr>
                    <w:t>финансовые вложения на сумму 398255.26 руб. (помещение) На конец 2020 года сумма финансовых вложений составила 1087040,78 руб.      </w:t>
                  </w:r>
                </w:p>
                <w:p w:rsidR="00E82963" w:rsidRDefault="00E82963">
                  <w:pPr>
                    <w:jc w:val="both"/>
                  </w:pPr>
                </w:p>
                <w:p w:rsidR="00E82963" w:rsidRDefault="00E82963">
                  <w:pPr>
                    <w:jc w:val="both"/>
                  </w:pPr>
                </w:p>
                <w:p w:rsidR="00E82963" w:rsidRDefault="00E82963">
                  <w:pPr>
                    <w:jc w:val="both"/>
                  </w:pPr>
                </w:p>
                <w:p w:rsidR="00E82963" w:rsidRDefault="009E7646">
                  <w:pPr>
                    <w:jc w:val="both"/>
                  </w:pPr>
                  <w:r>
                    <w:rPr>
                      <w:color w:val="000000"/>
                      <w:sz w:val="29"/>
                      <w:szCs w:val="29"/>
                    </w:rPr>
                    <w:t>      Разъяснения к форме 0503175 «Сведения о принятых и неисполненных обязательствах получателя бюджетных средств».</w:t>
                  </w:r>
                </w:p>
                <w:p w:rsidR="00E82963" w:rsidRDefault="009E7646">
                  <w:pPr>
                    <w:jc w:val="both"/>
                  </w:pPr>
                  <w:r>
                    <w:rPr>
                      <w:color w:val="000000"/>
                      <w:sz w:val="29"/>
                      <w:szCs w:val="29"/>
                    </w:rPr>
                    <w:t>        В 2020 году был заключен 1 контракт, в декабре 2020 по результатам аукциона в электронной форме был заключен контракт на поставку бумаги, на сумму 153831 руб.57коп. Сумма экономии по контракту составила 25504 руб.43 коп. </w:t>
                  </w:r>
                </w:p>
                <w:p w:rsidR="00E82963" w:rsidRDefault="009E7646">
                  <w:pPr>
                    <w:jc w:val="both"/>
                  </w:pPr>
                  <w:r>
                    <w:rPr>
                      <w:color w:val="000000"/>
                      <w:sz w:val="29"/>
                      <w:szCs w:val="29"/>
                    </w:rPr>
                    <w:t xml:space="preserve">      Неисполненные бюджетные обязательства  образовались по причине открытия дополнительных ассигнования в сумме 300000 руб. на поощрение муниципальных служащих за счет средств мбт за достижение наилучших значений показателей по отдельным направлениям развития муниципальных образований. Средства будут </w:t>
                  </w:r>
                  <w:r>
                    <w:rPr>
                      <w:color w:val="000000"/>
                      <w:sz w:val="29"/>
                      <w:szCs w:val="29"/>
                    </w:rPr>
                    <w:lastRenderedPageBreak/>
                    <w:t>освоены в  2021 году.</w:t>
                  </w:r>
                </w:p>
                <w:p w:rsidR="00E82963" w:rsidRDefault="009E7646">
                  <w:pPr>
                    <w:jc w:val="both"/>
                  </w:pPr>
                  <w:r>
                    <w:rPr>
                      <w:color w:val="000000"/>
                      <w:sz w:val="29"/>
                      <w:szCs w:val="29"/>
                    </w:rPr>
                    <w:t>Разъяснения к форме 0503178 «Сведения об остатках денежных средств на счетах получателя бюджетных средств».</w:t>
                  </w:r>
                </w:p>
                <w:p w:rsidR="00E82963" w:rsidRDefault="009E7646">
                  <w:pPr>
                    <w:jc w:val="both"/>
                  </w:pPr>
                  <w:r>
                    <w:rPr>
                      <w:color w:val="000000"/>
                      <w:sz w:val="29"/>
                      <w:szCs w:val="29"/>
                    </w:rPr>
                    <w:t>       В Администрации Гаврилов-Ямского муниципального района открыты лицевые счета в Управлении финансов администрации Гаврилов-Ямского муниципального района:</w:t>
                  </w:r>
                </w:p>
                <w:p w:rsidR="00E82963" w:rsidRDefault="009E7646">
                  <w:pPr>
                    <w:jc w:val="both"/>
                  </w:pPr>
                  <w:r>
                    <w:rPr>
                      <w:color w:val="000000"/>
                      <w:sz w:val="29"/>
                      <w:szCs w:val="29"/>
                    </w:rPr>
                    <w:t>      10.01.2012г. 850.01.001.1 лицевой счет получателя бюджетных средств (ФБ),</w:t>
                  </w:r>
                </w:p>
                <w:p w:rsidR="00E82963" w:rsidRDefault="009E7646">
                  <w:pPr>
                    <w:jc w:val="both"/>
                  </w:pPr>
                  <w:r>
                    <w:rPr>
                      <w:color w:val="000000"/>
                      <w:sz w:val="29"/>
                      <w:szCs w:val="29"/>
                    </w:rPr>
                    <w:t xml:space="preserve">                             850.01.001.2 лицевой счет получателя бюджетных средств (МБ),</w:t>
                  </w:r>
                </w:p>
                <w:p w:rsidR="00E82963" w:rsidRDefault="009E7646">
                  <w:pPr>
                    <w:jc w:val="both"/>
                  </w:pPr>
                  <w:r>
                    <w:rPr>
                      <w:color w:val="000000"/>
                      <w:sz w:val="29"/>
                      <w:szCs w:val="29"/>
                    </w:rPr>
                    <w:t>                            850.01.001.5 лицевой счет для невыясненных поступлений,</w:t>
                  </w:r>
                </w:p>
                <w:p w:rsidR="00E82963" w:rsidRDefault="009E7646">
                  <w:pPr>
                    <w:jc w:val="both"/>
                  </w:pPr>
                  <w:r>
                    <w:rPr>
                      <w:color w:val="000000"/>
                      <w:sz w:val="29"/>
                      <w:szCs w:val="29"/>
                    </w:rPr>
                    <w:t xml:space="preserve">                             850.01.001.7 лицевой счет ПБС, для средств, поступающих во временное распоряжение.</w:t>
                  </w:r>
                </w:p>
                <w:p w:rsidR="00E82963" w:rsidRDefault="009E7646">
                  <w:pPr>
                    <w:jc w:val="both"/>
                  </w:pPr>
                  <w:r>
                    <w:rPr>
                      <w:color w:val="000000"/>
                      <w:sz w:val="29"/>
                      <w:szCs w:val="29"/>
                    </w:rPr>
                    <w:t>      14.02.2011г. 850.01.001.3 лицевой счет для поступления ср-в фин. помощи</w:t>
                  </w:r>
                </w:p>
                <w:p w:rsidR="00E82963" w:rsidRDefault="009E7646">
                  <w:pPr>
                    <w:jc w:val="both"/>
                  </w:pPr>
                  <w:r>
                    <w:rPr>
                      <w:color w:val="000000"/>
                      <w:sz w:val="29"/>
                      <w:szCs w:val="29"/>
                    </w:rPr>
                    <w:t>      07.10.2015г.  850.04.005.9 лицевой счет для инвестиций</w:t>
                  </w:r>
                </w:p>
                <w:p w:rsidR="00E82963" w:rsidRDefault="009E7646">
                  <w:pPr>
                    <w:jc w:val="both"/>
                  </w:pPr>
                  <w:r>
                    <w:rPr>
                      <w:color w:val="000000"/>
                      <w:sz w:val="29"/>
                      <w:szCs w:val="29"/>
                    </w:rPr>
                    <w:t>      10.01.2012г. 850.03.002.2 лицевой счет ПБС Собранию представителей Гаврилов-Ямского муниципального района;</w:t>
                  </w:r>
                </w:p>
                <w:p w:rsidR="00E82963" w:rsidRDefault="009E7646">
                  <w:pPr>
                    <w:jc w:val="both"/>
                  </w:pPr>
                  <w:r>
                    <w:rPr>
                      <w:color w:val="000000"/>
                      <w:sz w:val="29"/>
                      <w:szCs w:val="29"/>
                    </w:rPr>
                    <w:t>      14.02.2012 850.03.003.2 лицевой счет ПБС для МЦУ «МКУ Гаврилов-Ямского муниципального района»</w:t>
                  </w:r>
                </w:p>
                <w:p w:rsidR="00E82963" w:rsidRDefault="009E7646">
                  <w:pPr>
                    <w:jc w:val="both"/>
                  </w:pPr>
                  <w:r>
                    <w:rPr>
                      <w:color w:val="000000"/>
                      <w:sz w:val="29"/>
                      <w:szCs w:val="29"/>
                    </w:rPr>
                    <w:t>      08.04.2013 850.03.004.2  лицевой счет Контрольно-счетной комиссии Гаврилов-Ямского муниципального района</w:t>
                  </w:r>
                </w:p>
                <w:p w:rsidR="00E82963" w:rsidRDefault="009E7646">
                  <w:pPr>
                    <w:jc w:val="both"/>
                  </w:pPr>
                  <w:r>
                    <w:rPr>
                      <w:color w:val="000000"/>
                      <w:sz w:val="29"/>
                      <w:szCs w:val="29"/>
                    </w:rPr>
                    <w:t>      Разъяснения к форме 0503296 «Сведения об исполнении судебных решений по денежным обязательствам бюджета».</w:t>
                  </w:r>
                </w:p>
                <w:p w:rsidR="00E82963" w:rsidRDefault="009E7646">
                  <w:pPr>
                    <w:jc w:val="both"/>
                  </w:pPr>
                  <w:r>
                    <w:rPr>
                      <w:color w:val="000000"/>
                      <w:sz w:val="29"/>
                      <w:szCs w:val="29"/>
                    </w:rPr>
                    <w:t>       Определением арбитражного суда ЯО от 15.11.2019г о привлечении к субсидиарной ответственности Администрацию муниципального района (по делу не состоятельности Шопшинского МП ЖКХ)назначено предварительное судебное заседание по его рассмотрению в 2020 году.Иск составил 14024356,40 руб. Постановлением арбитражного суда апелляционной инстанции Дело № №А82-15353/2014 от 31.01.2020 было установлено жалобу конкурсного управляющего Шопшинского МУП оставить без удовлетворения.</w:t>
                  </w:r>
                </w:p>
                <w:p w:rsidR="00E82963" w:rsidRDefault="009E7646">
                  <w:pPr>
                    <w:jc w:val="both"/>
                  </w:pPr>
                  <w:r>
                    <w:rPr>
                      <w:color w:val="000000"/>
                      <w:sz w:val="29"/>
                      <w:szCs w:val="29"/>
                    </w:rPr>
                    <w:t xml:space="preserve">  </w:t>
                  </w:r>
                </w:p>
                <w:p w:rsidR="00E82963" w:rsidRDefault="009E7646">
                  <w:pPr>
                    <w:jc w:val="both"/>
                  </w:pPr>
                  <w:r>
                    <w:rPr>
                      <w:color w:val="000000"/>
                      <w:sz w:val="29"/>
                      <w:szCs w:val="29"/>
                    </w:rPr>
                    <w:t> </w:t>
                  </w:r>
                </w:p>
                <w:p w:rsidR="00E82963" w:rsidRDefault="00E82963">
                  <w:pPr>
                    <w:jc w:val="both"/>
                  </w:pPr>
                </w:p>
                <w:p w:rsidR="00E82963" w:rsidRDefault="00E82963">
                  <w:pPr>
                    <w:jc w:val="both"/>
                  </w:pPr>
                </w:p>
                <w:p w:rsidR="00E82963" w:rsidRDefault="00E82963">
                  <w:pPr>
                    <w:rPr>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0314"/>
                  </w:tblGrid>
                  <w:tr w:rsidR="00E82963">
                    <w:tc>
                      <w:tcPr>
                        <w:tcW w:w="10314"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82963" w:rsidRDefault="009E7646">
                        <w:pPr>
                          <w:jc w:val="both"/>
                        </w:pPr>
                        <w:r>
                          <w:rPr>
                            <w:color w:val="000000"/>
                            <w:sz w:val="29"/>
                            <w:szCs w:val="29"/>
                          </w:rPr>
                          <w:t>          Разъяснения к форме 0503173 «Сведения об изменении остатков валюты баланса. Бюджетная деятельность ».</w:t>
                        </w:r>
                      </w:p>
                      <w:p w:rsidR="00E82963" w:rsidRDefault="009E7646">
                        <w:pPr>
                          <w:jc w:val="both"/>
                        </w:pPr>
                        <w:r>
                          <w:rPr>
                            <w:color w:val="000000"/>
                            <w:sz w:val="29"/>
                            <w:szCs w:val="29"/>
                          </w:rPr>
                          <w:t>          Остатки валюты баланса за отчетный период изменились по счету 20545 в сумме 15595,20 руб. , в связи с исправлением ошибок прошлых лет, т.к. данная задолженность является задолженностью 2019 года по административным штрафам, право требования на которые возникло в 2019 году, при наличии кассовых поступлений доходов в 2020 году по КБК, применяемых в рамках погашения дебиторской задолженности, образовавшейся до 1 января 2020 год. </w:t>
                        </w:r>
                      </w:p>
                      <w:p w:rsidR="00E82963" w:rsidRDefault="009E7646">
                        <w:pPr>
                          <w:jc w:val="both"/>
                        </w:pPr>
                        <w:r>
                          <w:rPr>
                            <w:color w:val="000000"/>
                            <w:sz w:val="29"/>
                            <w:szCs w:val="29"/>
                          </w:rPr>
                          <w:t>В связи с поправками в стандарт «Аренда» изменились остатки валюты баланса по  счету 0111 в сумме 269774,67 руб. и счету 40140 89924,89руб. </w:t>
                        </w:r>
                      </w:p>
                      <w:p w:rsidR="00E82963" w:rsidRDefault="00E82963">
                        <w:pPr>
                          <w:jc w:val="both"/>
                        </w:pPr>
                      </w:p>
                      <w:p w:rsidR="00E82963" w:rsidRDefault="00E82963">
                        <w:pPr>
                          <w:jc w:val="both"/>
                        </w:pPr>
                      </w:p>
                      <w:p w:rsidR="00E82963" w:rsidRDefault="009E7646">
                        <w:pPr>
                          <w:jc w:val="both"/>
                        </w:pPr>
                        <w:r>
                          <w:rPr>
                            <w:color w:val="000000"/>
                            <w:sz w:val="29"/>
                            <w:szCs w:val="29"/>
                          </w:rPr>
                          <w:lastRenderedPageBreak/>
                          <w:t>                  Просроченная задолженность на 31.12.2020г. отсутствует. В Администрации Гаврилов-Ямского муниципального района открыты лицевые счета в Управлении финансов администрации Гаврилов-Ямского муниципального района: 10.01.2012г. 850.01.001.1 лицевой счет получателя бюджетных средств (ФБ), 850.01.001.2 лицевой счет получателя бюджетных средств (местный бюджет), 850.01.001.5 лицевой счет для невыясненных поступлений, 850.01.001.7 лицевой счет ПБС, для средств, поступающих во временное распоряжение. 14.02.2011г. 850.01.001.3 лицевой счет для поступления средств финансовой помощи 07.10.2015г. 850.04.005.9 лицевой счет для инвестиций 10.01.2012г. 850.03.002.2 лицевой счет ПБС Собранию представителей Гаврилов-Ямского муниципального района; 14.02.2012 850.03.003.2 лицевой счет ПБС для МЦУ «МКУ Гаврилов-Ямского муниципального района» 08.04.2013 850.03.004.2 лицевой счет Контрольно-счетной комиссии Гаврилов-Ямского муниципального района</w:t>
                        </w:r>
                      </w:p>
                    </w:tc>
                  </w:tr>
                </w:tbl>
                <w:p w:rsidR="00E82963" w:rsidRDefault="00E82963">
                  <w:pPr>
                    <w:spacing w:line="1" w:lineRule="auto"/>
                  </w:pPr>
                </w:p>
              </w:tc>
            </w:tr>
          </w:tbl>
          <w:p w:rsidR="00E82963" w:rsidRDefault="009E7646">
            <w:pPr>
              <w:jc w:val="both"/>
              <w:rPr>
                <w:color w:val="000000"/>
                <w:sz w:val="28"/>
                <w:szCs w:val="28"/>
              </w:rPr>
            </w:pPr>
            <w:r>
              <w:rPr>
                <w:color w:val="000000"/>
                <w:sz w:val="28"/>
                <w:szCs w:val="28"/>
              </w:rPr>
              <w:lastRenderedPageBreak/>
              <w:t xml:space="preserve"> </w:t>
            </w:r>
          </w:p>
        </w:tc>
      </w:tr>
      <w:tr w:rsidR="00E82963">
        <w:trPr>
          <w:trHeight w:val="322"/>
        </w:trPr>
        <w:tc>
          <w:tcPr>
            <w:tcW w:w="10314" w:type="dxa"/>
            <w:gridSpan w:val="6"/>
            <w:vMerge w:val="restart"/>
            <w:tcMar>
              <w:top w:w="0" w:type="dxa"/>
              <w:left w:w="0" w:type="dxa"/>
              <w:bottom w:w="0" w:type="dxa"/>
              <w:right w:w="0" w:type="dxa"/>
            </w:tcMar>
          </w:tcPr>
          <w:p w:rsidR="00E82963" w:rsidRDefault="009E7646">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E82963" w:rsidRDefault="009E7646">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82963">
              <w:tc>
                <w:tcPr>
                  <w:tcW w:w="10314" w:type="dxa"/>
                  <w:tcMar>
                    <w:top w:w="0" w:type="dxa"/>
                    <w:left w:w="0" w:type="dxa"/>
                    <w:bottom w:w="0" w:type="dxa"/>
                    <w:right w:w="0" w:type="dxa"/>
                  </w:tcMar>
                </w:tcPr>
                <w:p w:rsidR="00E82963" w:rsidRDefault="009E7646">
                  <w:pPr>
                    <w:jc w:val="both"/>
                  </w:pPr>
                  <w:r>
                    <w:rPr>
                      <w:color w:val="000000"/>
                      <w:sz w:val="28"/>
                      <w:szCs w:val="28"/>
                    </w:rPr>
                    <w:t>          </w:t>
                  </w:r>
                </w:p>
                <w:p w:rsidR="00E82963" w:rsidRDefault="009E7646">
                  <w:pPr>
                    <w:jc w:val="both"/>
                  </w:pPr>
                  <w:r>
                    <w:rPr>
                      <w:color w:val="000000"/>
                      <w:sz w:val="29"/>
                      <w:szCs w:val="29"/>
                    </w:rPr>
                    <w:t>В соответствии с учетной политикой, в целях качественного составления годовой отчетности в Администрации муниципального района проведена инвентаризация материалов, основных средств, бланков строгой отчетности, кассы, расчетов с учреждениями, организациями, подотчетными лицами. Распоряжение от 20.11.2020г. № 73-р. В МУ МЦУ Гаврилов-Ямского муниципального района Приказ от 16.12.2020г. №90. В КСК Гаврилов-Ямского муниципального района Приказ от 08.12.2020г. №21. Расхождений с данными бухгалтерского учета не установлено.</w:t>
                  </w:r>
                </w:p>
                <w:p w:rsidR="00E82963" w:rsidRDefault="009E7646">
                  <w:pPr>
                    <w:spacing w:before="190" w:after="190"/>
                    <w:jc w:val="both"/>
                  </w:pPr>
                  <w:r>
                    <w:rPr>
                      <w:color w:val="000000"/>
                      <w:sz w:val="27"/>
                      <w:szCs w:val="27"/>
                    </w:rPr>
                    <w:t>Не представлены формы, не имеющие числового значения (нулевые):     - Сведения о целевых иностранных кредитах форма 0503167;   - Сведения о государственном (муниципальном) долге форма 0503172;   - Сведения об изменении остатков валюты баланса. Средства во временном распоряжении форма 0503173 SVR;   - Сведения о доходах бюджета от перечисления части прибыли (дивидендов) государственных(муниципальных) унитарных предприятий, иных организаций с государственным участием в капитале форма 0503174;   - Сведения об остатках денежных средств по счетах ПБС, бюджетная деятельность форма 0503178;   - Справка о суммах консолидируемых поступлений, подлежащих зачислению на счет бюджета 0503184;  - Сведения о вложениях в объекты недвижимого имущества, объектах незавершенного строительства форма 0503190 ; - Сведения об исполнении судебных решений по денежным обязательствам бюджета форма 0503296.</w:t>
                  </w:r>
                </w:p>
              </w:tc>
            </w:tr>
          </w:tbl>
          <w:p w:rsidR="00E82963" w:rsidRDefault="009E7646">
            <w:pPr>
              <w:jc w:val="both"/>
              <w:rPr>
                <w:color w:val="000000"/>
                <w:sz w:val="28"/>
                <w:szCs w:val="28"/>
              </w:rPr>
            </w:pPr>
            <w:r>
              <w:rPr>
                <w:color w:val="000000"/>
                <w:sz w:val="28"/>
                <w:szCs w:val="28"/>
              </w:rPr>
              <w:t xml:space="preserve"> </w:t>
            </w:r>
          </w:p>
        </w:tc>
      </w:tr>
      <w:tr w:rsidR="00E82963">
        <w:tc>
          <w:tcPr>
            <w:tcW w:w="2494" w:type="dxa"/>
            <w:tcMar>
              <w:top w:w="0" w:type="dxa"/>
              <w:left w:w="0" w:type="dxa"/>
              <w:bottom w:w="0" w:type="dxa"/>
              <w:right w:w="0" w:type="dxa"/>
            </w:tcMar>
          </w:tcPr>
          <w:p w:rsidR="00E82963" w:rsidRDefault="00E82963">
            <w:pPr>
              <w:spacing w:line="1" w:lineRule="auto"/>
            </w:pPr>
          </w:p>
        </w:tc>
        <w:tc>
          <w:tcPr>
            <w:tcW w:w="113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c>
          <w:tcPr>
            <w:tcW w:w="2834" w:type="dxa"/>
            <w:tcMar>
              <w:top w:w="0" w:type="dxa"/>
              <w:left w:w="0" w:type="dxa"/>
              <w:bottom w:w="0" w:type="dxa"/>
              <w:right w:w="0" w:type="dxa"/>
            </w:tcMar>
          </w:tcPr>
          <w:p w:rsidR="00E82963" w:rsidRDefault="00E82963">
            <w:pPr>
              <w:spacing w:line="1" w:lineRule="auto"/>
            </w:pPr>
          </w:p>
        </w:tc>
        <w:tc>
          <w:tcPr>
            <w:tcW w:w="1587" w:type="dxa"/>
            <w:tcMar>
              <w:top w:w="0" w:type="dxa"/>
              <w:left w:w="0" w:type="dxa"/>
              <w:bottom w:w="0" w:type="dxa"/>
              <w:right w:w="0" w:type="dxa"/>
            </w:tcMar>
          </w:tcPr>
          <w:p w:rsidR="00E82963" w:rsidRDefault="00E82963">
            <w:pPr>
              <w:spacing w:line="1" w:lineRule="auto"/>
            </w:pPr>
          </w:p>
        </w:tc>
        <w:tc>
          <w:tcPr>
            <w:tcW w:w="1700" w:type="dxa"/>
            <w:tcMar>
              <w:top w:w="0" w:type="dxa"/>
              <w:left w:w="0" w:type="dxa"/>
              <w:bottom w:w="0" w:type="dxa"/>
              <w:right w:w="0" w:type="dxa"/>
            </w:tcMar>
          </w:tcPr>
          <w:p w:rsidR="00E82963" w:rsidRDefault="00E82963">
            <w:pPr>
              <w:spacing w:line="1" w:lineRule="auto"/>
            </w:pPr>
          </w:p>
        </w:tc>
      </w:tr>
    </w:tbl>
    <w:p w:rsidR="00E82963" w:rsidRDefault="00E82963">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E8296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82963">
              <w:tc>
                <w:tcPr>
                  <w:tcW w:w="3118" w:type="dxa"/>
                  <w:tcMar>
                    <w:top w:w="0" w:type="dxa"/>
                    <w:left w:w="0" w:type="dxa"/>
                    <w:bottom w:w="0" w:type="dxa"/>
                    <w:right w:w="0" w:type="dxa"/>
                  </w:tcMar>
                </w:tcPr>
                <w:p w:rsidR="00E82963" w:rsidRDefault="009E7646">
                  <w:r>
                    <w:rPr>
                      <w:color w:val="000000"/>
                      <w:sz w:val="28"/>
                      <w:szCs w:val="28"/>
                    </w:rPr>
                    <w:t>Глава Администрации Гаврилов-Ямского муниципального района</w:t>
                  </w:r>
                </w:p>
              </w:tc>
            </w:tr>
          </w:tbl>
          <w:p w:rsidR="00E82963" w:rsidRDefault="00E82963">
            <w:pPr>
              <w:spacing w:line="1" w:lineRule="auto"/>
            </w:pPr>
          </w:p>
        </w:tc>
        <w:tc>
          <w:tcPr>
            <w:tcW w:w="1700" w:type="dxa"/>
            <w:tcMar>
              <w:top w:w="0" w:type="dxa"/>
              <w:left w:w="0" w:type="dxa"/>
              <w:bottom w:w="0" w:type="dxa"/>
              <w:right w:w="0" w:type="dxa"/>
            </w:tcMar>
          </w:tcPr>
          <w:p w:rsidR="00E82963" w:rsidRDefault="009E7646">
            <w:pPr>
              <w:rPr>
                <w:color w:val="000000"/>
              </w:rPr>
            </w:pPr>
            <w:r>
              <w:rPr>
                <w:color w:val="000000"/>
              </w:rPr>
              <w:t xml:space="preserve"> </w:t>
            </w:r>
          </w:p>
        </w:tc>
        <w:tc>
          <w:tcPr>
            <w:tcW w:w="850" w:type="dxa"/>
            <w:tcMar>
              <w:top w:w="0" w:type="dxa"/>
              <w:left w:w="0" w:type="dxa"/>
              <w:bottom w:w="0" w:type="dxa"/>
              <w:right w:w="0" w:type="dxa"/>
            </w:tcMar>
          </w:tcPr>
          <w:p w:rsidR="00E82963" w:rsidRDefault="00E8296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82963">
              <w:trPr>
                <w:jc w:val="center"/>
              </w:trPr>
              <w:tc>
                <w:tcPr>
                  <w:tcW w:w="3685" w:type="dxa"/>
                  <w:tcMar>
                    <w:top w:w="0" w:type="dxa"/>
                    <w:left w:w="0" w:type="dxa"/>
                    <w:bottom w:w="0" w:type="dxa"/>
                    <w:right w:w="0" w:type="dxa"/>
                  </w:tcMar>
                </w:tcPr>
                <w:p w:rsidR="00E82963" w:rsidRDefault="009E7646">
                  <w:pPr>
                    <w:jc w:val="center"/>
                  </w:pPr>
                  <w:r>
                    <w:rPr>
                      <w:color w:val="000000"/>
                      <w:sz w:val="28"/>
                      <w:szCs w:val="28"/>
                    </w:rPr>
                    <w:t>А.А. Комаров</w:t>
                  </w:r>
                </w:p>
              </w:tc>
            </w:tr>
          </w:tbl>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3118" w:type="dxa"/>
            <w:vMerge/>
            <w:tcMar>
              <w:top w:w="0" w:type="dxa"/>
              <w:left w:w="0" w:type="dxa"/>
              <w:bottom w:w="0" w:type="dxa"/>
              <w:right w:w="0" w:type="dxa"/>
            </w:tcMar>
          </w:tcPr>
          <w:p w:rsidR="00E82963" w:rsidRDefault="00E82963">
            <w:pPr>
              <w:spacing w:line="1" w:lineRule="auto"/>
            </w:pPr>
          </w:p>
        </w:tc>
        <w:tc>
          <w:tcPr>
            <w:tcW w:w="1700" w:type="dxa"/>
            <w:tcMar>
              <w:top w:w="0" w:type="dxa"/>
              <w:left w:w="0" w:type="dxa"/>
              <w:bottom w:w="0" w:type="dxa"/>
              <w:right w:w="0" w:type="dxa"/>
            </w:tcMar>
          </w:tcPr>
          <w:p w:rsidR="00E82963" w:rsidRDefault="009E7646">
            <w:pPr>
              <w:pBdr>
                <w:top w:val="single" w:sz="6" w:space="0" w:color="000000"/>
              </w:pBdr>
              <w:jc w:val="center"/>
              <w:rPr>
                <w:rFonts w:ascii="Arial" w:eastAsia="Arial" w:hAnsi="Arial" w:cs="Arial"/>
                <w:color w:val="000000"/>
                <w:sz w:val="16"/>
                <w:szCs w:val="16"/>
              </w:rPr>
            </w:pPr>
            <w:r>
              <w:rPr>
                <w:rFonts w:ascii="Arial" w:eastAsia="Arial" w:hAnsi="Arial" w:cs="Arial"/>
                <w:color w:val="000000"/>
                <w:sz w:val="16"/>
                <w:szCs w:val="16"/>
              </w:rPr>
              <w:t>(подпись)</w:t>
            </w: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9E7646">
            <w:pPr>
              <w:jc w:val="center"/>
              <w:rPr>
                <w:rFonts w:ascii="Arial" w:eastAsia="Arial" w:hAnsi="Arial" w:cs="Arial"/>
                <w:color w:val="000000"/>
                <w:sz w:val="16"/>
                <w:szCs w:val="16"/>
              </w:rPr>
            </w:pPr>
            <w:r>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rPr>
          <w:trHeight w:val="1"/>
        </w:trPr>
        <w:tc>
          <w:tcPr>
            <w:tcW w:w="10372" w:type="dxa"/>
            <w:gridSpan w:val="6"/>
            <w:vMerge w:val="restart"/>
            <w:tcMar>
              <w:top w:w="0" w:type="dxa"/>
              <w:left w:w="0" w:type="dxa"/>
              <w:bottom w:w="0" w:type="dxa"/>
              <w:right w:w="0" w:type="dxa"/>
            </w:tcMar>
          </w:tcPr>
          <w:p w:rsidR="00E82963" w:rsidRDefault="00E82963">
            <w:pPr>
              <w:spacing w:line="1" w:lineRule="auto"/>
            </w:pPr>
          </w:p>
        </w:tc>
      </w:tr>
      <w:tr w:rsidR="00E82963">
        <w:tc>
          <w:tcPr>
            <w:tcW w:w="3118" w:type="dxa"/>
            <w:tcMar>
              <w:top w:w="0" w:type="dxa"/>
              <w:left w:w="0" w:type="dxa"/>
              <w:bottom w:w="0" w:type="dxa"/>
              <w:right w:w="0" w:type="dxa"/>
            </w:tcMar>
          </w:tcPr>
          <w:p w:rsidR="00E82963" w:rsidRDefault="00E82963">
            <w:pPr>
              <w:spacing w:line="1" w:lineRule="auto"/>
            </w:pPr>
          </w:p>
        </w:tc>
        <w:tc>
          <w:tcPr>
            <w:tcW w:w="1700" w:type="dxa"/>
            <w:tcMar>
              <w:top w:w="0" w:type="dxa"/>
              <w:left w:w="0" w:type="dxa"/>
              <w:bottom w:w="0" w:type="dxa"/>
              <w:right w:w="0" w:type="dxa"/>
            </w:tcMar>
          </w:tcPr>
          <w:p w:rsidR="00E82963" w:rsidRDefault="009E7646">
            <w:pPr>
              <w:rPr>
                <w:color w:val="000000"/>
              </w:rPr>
            </w:pPr>
            <w:r>
              <w:rPr>
                <w:color w:val="000000"/>
              </w:rPr>
              <w:t xml:space="preserve"> </w:t>
            </w: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82963">
              <w:tc>
                <w:tcPr>
                  <w:tcW w:w="3118" w:type="dxa"/>
                  <w:tcMar>
                    <w:top w:w="0" w:type="dxa"/>
                    <w:left w:w="0" w:type="dxa"/>
                    <w:bottom w:w="0" w:type="dxa"/>
                    <w:right w:w="0" w:type="dxa"/>
                  </w:tcMar>
                </w:tcPr>
                <w:p w:rsidR="00E82963" w:rsidRDefault="009E7646">
                  <w:r>
                    <w:rPr>
                      <w:color w:val="000000"/>
                      <w:sz w:val="28"/>
                      <w:szCs w:val="28"/>
                    </w:rPr>
                    <w:lastRenderedPageBreak/>
                    <w:t>Начальник отдела учета и отчетности</w:t>
                  </w:r>
                </w:p>
              </w:tc>
            </w:tr>
          </w:tbl>
          <w:p w:rsidR="00E82963" w:rsidRDefault="00E82963">
            <w:pPr>
              <w:spacing w:line="1" w:lineRule="auto"/>
            </w:pPr>
          </w:p>
        </w:tc>
        <w:tc>
          <w:tcPr>
            <w:tcW w:w="1700" w:type="dxa"/>
            <w:tcMar>
              <w:top w:w="0" w:type="dxa"/>
              <w:left w:w="0" w:type="dxa"/>
              <w:bottom w:w="0" w:type="dxa"/>
              <w:right w:w="0" w:type="dxa"/>
            </w:tcMar>
          </w:tcPr>
          <w:p w:rsidR="00E82963" w:rsidRDefault="009E7646">
            <w:pPr>
              <w:rPr>
                <w:color w:val="000000"/>
              </w:rPr>
            </w:pPr>
            <w:r>
              <w:rPr>
                <w:color w:val="000000"/>
              </w:rPr>
              <w:t xml:space="preserve"> </w:t>
            </w:r>
          </w:p>
        </w:tc>
        <w:tc>
          <w:tcPr>
            <w:tcW w:w="850" w:type="dxa"/>
            <w:tcMar>
              <w:top w:w="0" w:type="dxa"/>
              <w:left w:w="0" w:type="dxa"/>
              <w:bottom w:w="0" w:type="dxa"/>
              <w:right w:w="0" w:type="dxa"/>
            </w:tcMar>
          </w:tcPr>
          <w:p w:rsidR="00E82963" w:rsidRDefault="00E8296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82963">
              <w:trPr>
                <w:jc w:val="center"/>
              </w:trPr>
              <w:tc>
                <w:tcPr>
                  <w:tcW w:w="3685" w:type="dxa"/>
                  <w:tcMar>
                    <w:top w:w="0" w:type="dxa"/>
                    <w:left w:w="0" w:type="dxa"/>
                    <w:bottom w:w="0" w:type="dxa"/>
                    <w:right w:w="0" w:type="dxa"/>
                  </w:tcMar>
                </w:tcPr>
                <w:p w:rsidR="00E82963" w:rsidRDefault="009E7646">
                  <w:pPr>
                    <w:jc w:val="center"/>
                  </w:pPr>
                  <w:r>
                    <w:rPr>
                      <w:color w:val="000000"/>
                      <w:sz w:val="28"/>
                      <w:szCs w:val="28"/>
                    </w:rPr>
                    <w:t>Е.Б. Подвальная</w:t>
                  </w:r>
                </w:p>
              </w:tc>
            </w:tr>
          </w:tbl>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3118" w:type="dxa"/>
            <w:vMerge/>
            <w:tcMar>
              <w:top w:w="0" w:type="dxa"/>
              <w:left w:w="0" w:type="dxa"/>
              <w:bottom w:w="0" w:type="dxa"/>
              <w:right w:w="0" w:type="dxa"/>
            </w:tcMar>
          </w:tcPr>
          <w:p w:rsidR="00E82963" w:rsidRDefault="00E82963">
            <w:pPr>
              <w:spacing w:line="1" w:lineRule="auto"/>
            </w:pPr>
          </w:p>
        </w:tc>
        <w:tc>
          <w:tcPr>
            <w:tcW w:w="1700" w:type="dxa"/>
            <w:tcMar>
              <w:top w:w="0" w:type="dxa"/>
              <w:left w:w="0" w:type="dxa"/>
              <w:bottom w:w="0" w:type="dxa"/>
              <w:right w:w="0" w:type="dxa"/>
            </w:tcMar>
          </w:tcPr>
          <w:p w:rsidR="00E82963" w:rsidRDefault="009E7646">
            <w:pPr>
              <w:pBdr>
                <w:top w:val="single" w:sz="6" w:space="0" w:color="000000"/>
              </w:pBdr>
              <w:jc w:val="center"/>
              <w:rPr>
                <w:rFonts w:ascii="Arial" w:eastAsia="Arial" w:hAnsi="Arial" w:cs="Arial"/>
                <w:color w:val="000000"/>
                <w:sz w:val="16"/>
                <w:szCs w:val="16"/>
              </w:rPr>
            </w:pPr>
            <w:r>
              <w:rPr>
                <w:rFonts w:ascii="Arial" w:eastAsia="Arial" w:hAnsi="Arial" w:cs="Arial"/>
                <w:color w:val="000000"/>
                <w:sz w:val="16"/>
                <w:szCs w:val="16"/>
              </w:rPr>
              <w:t>(подпись)</w:t>
            </w: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9E7646">
            <w:pPr>
              <w:jc w:val="center"/>
              <w:rPr>
                <w:rFonts w:ascii="Arial" w:eastAsia="Arial" w:hAnsi="Arial" w:cs="Arial"/>
                <w:color w:val="000000"/>
                <w:sz w:val="16"/>
                <w:szCs w:val="16"/>
              </w:rPr>
            </w:pPr>
            <w:r>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rPr>
          <w:trHeight w:val="1"/>
        </w:trPr>
        <w:tc>
          <w:tcPr>
            <w:tcW w:w="10372" w:type="dxa"/>
            <w:gridSpan w:val="6"/>
            <w:vMerge w:val="restart"/>
            <w:tcMar>
              <w:top w:w="0" w:type="dxa"/>
              <w:left w:w="0" w:type="dxa"/>
              <w:bottom w:w="0" w:type="dxa"/>
              <w:right w:w="0" w:type="dxa"/>
            </w:tcMar>
          </w:tcPr>
          <w:p w:rsidR="00E82963" w:rsidRDefault="00E82963">
            <w:pPr>
              <w:spacing w:line="1" w:lineRule="auto"/>
            </w:pPr>
          </w:p>
        </w:tc>
      </w:tr>
      <w:tr w:rsidR="00E82963">
        <w:tc>
          <w:tcPr>
            <w:tcW w:w="3118" w:type="dxa"/>
            <w:tcMar>
              <w:top w:w="0" w:type="dxa"/>
              <w:left w:w="0" w:type="dxa"/>
              <w:bottom w:w="0" w:type="dxa"/>
              <w:right w:w="0" w:type="dxa"/>
            </w:tcMar>
          </w:tcPr>
          <w:p w:rsidR="00E82963" w:rsidRDefault="00E82963">
            <w:pPr>
              <w:spacing w:line="1" w:lineRule="auto"/>
            </w:pPr>
          </w:p>
        </w:tc>
        <w:tc>
          <w:tcPr>
            <w:tcW w:w="1700" w:type="dxa"/>
            <w:tcMar>
              <w:top w:w="0" w:type="dxa"/>
              <w:left w:w="0" w:type="dxa"/>
              <w:bottom w:w="0" w:type="dxa"/>
              <w:right w:w="0" w:type="dxa"/>
            </w:tcMar>
          </w:tcPr>
          <w:p w:rsidR="00E82963" w:rsidRDefault="009E7646">
            <w:pPr>
              <w:rPr>
                <w:color w:val="000000"/>
              </w:rPr>
            </w:pPr>
            <w:r>
              <w:rPr>
                <w:color w:val="000000"/>
              </w:rPr>
              <w:t xml:space="preserve"> </w:t>
            </w: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82963">
              <w:tc>
                <w:tcPr>
                  <w:tcW w:w="3118" w:type="dxa"/>
                  <w:tcMar>
                    <w:top w:w="0" w:type="dxa"/>
                    <w:left w:w="0" w:type="dxa"/>
                    <w:bottom w:w="0" w:type="dxa"/>
                    <w:right w:w="0" w:type="dxa"/>
                  </w:tcMar>
                </w:tcPr>
                <w:p w:rsidR="00E82963" w:rsidRDefault="009E7646">
                  <w:r>
                    <w:rPr>
                      <w:color w:val="000000"/>
                      <w:sz w:val="28"/>
                      <w:szCs w:val="28"/>
                    </w:rPr>
                    <w:t>Начальник отдела учета и отчетности</w:t>
                  </w:r>
                </w:p>
              </w:tc>
            </w:tr>
          </w:tbl>
          <w:p w:rsidR="00E82963" w:rsidRDefault="00E82963">
            <w:pPr>
              <w:spacing w:line="1" w:lineRule="auto"/>
            </w:pPr>
          </w:p>
        </w:tc>
        <w:tc>
          <w:tcPr>
            <w:tcW w:w="1700" w:type="dxa"/>
            <w:tcMar>
              <w:top w:w="0" w:type="dxa"/>
              <w:left w:w="0" w:type="dxa"/>
              <w:bottom w:w="0" w:type="dxa"/>
              <w:right w:w="0" w:type="dxa"/>
            </w:tcMar>
          </w:tcPr>
          <w:p w:rsidR="00E82963" w:rsidRDefault="009E7646">
            <w:pPr>
              <w:rPr>
                <w:color w:val="000000"/>
              </w:rPr>
            </w:pPr>
            <w:r>
              <w:rPr>
                <w:color w:val="000000"/>
              </w:rPr>
              <w:t xml:space="preserve"> </w:t>
            </w:r>
          </w:p>
        </w:tc>
        <w:tc>
          <w:tcPr>
            <w:tcW w:w="850" w:type="dxa"/>
            <w:tcMar>
              <w:top w:w="0" w:type="dxa"/>
              <w:left w:w="0" w:type="dxa"/>
              <w:bottom w:w="0" w:type="dxa"/>
              <w:right w:w="0" w:type="dxa"/>
            </w:tcMar>
          </w:tcPr>
          <w:p w:rsidR="00E82963" w:rsidRDefault="00E8296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82963">
              <w:trPr>
                <w:jc w:val="center"/>
              </w:trPr>
              <w:tc>
                <w:tcPr>
                  <w:tcW w:w="3685" w:type="dxa"/>
                  <w:tcMar>
                    <w:top w:w="0" w:type="dxa"/>
                    <w:left w:w="0" w:type="dxa"/>
                    <w:bottom w:w="0" w:type="dxa"/>
                    <w:right w:w="0" w:type="dxa"/>
                  </w:tcMar>
                </w:tcPr>
                <w:p w:rsidR="00E82963" w:rsidRDefault="009E7646">
                  <w:pPr>
                    <w:jc w:val="center"/>
                  </w:pPr>
                  <w:r>
                    <w:rPr>
                      <w:color w:val="000000"/>
                      <w:sz w:val="28"/>
                      <w:szCs w:val="28"/>
                    </w:rPr>
                    <w:t>Е.Б. Подвальная</w:t>
                  </w:r>
                </w:p>
              </w:tc>
            </w:tr>
          </w:tbl>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3118" w:type="dxa"/>
            <w:vMerge/>
            <w:tcMar>
              <w:top w:w="0" w:type="dxa"/>
              <w:left w:w="0" w:type="dxa"/>
              <w:bottom w:w="0" w:type="dxa"/>
              <w:right w:w="0" w:type="dxa"/>
            </w:tcMar>
          </w:tcPr>
          <w:p w:rsidR="00E82963" w:rsidRDefault="00E82963">
            <w:pPr>
              <w:spacing w:line="1" w:lineRule="auto"/>
            </w:pPr>
          </w:p>
        </w:tc>
        <w:tc>
          <w:tcPr>
            <w:tcW w:w="1700" w:type="dxa"/>
            <w:tcMar>
              <w:top w:w="0" w:type="dxa"/>
              <w:left w:w="0" w:type="dxa"/>
              <w:bottom w:w="0" w:type="dxa"/>
              <w:right w:w="0" w:type="dxa"/>
            </w:tcMar>
          </w:tcPr>
          <w:p w:rsidR="00E82963" w:rsidRDefault="009E7646">
            <w:pPr>
              <w:pBdr>
                <w:top w:val="single" w:sz="6" w:space="0" w:color="000000"/>
              </w:pBdr>
              <w:jc w:val="center"/>
              <w:rPr>
                <w:rFonts w:ascii="Arial" w:eastAsia="Arial" w:hAnsi="Arial" w:cs="Arial"/>
                <w:color w:val="000000"/>
                <w:sz w:val="16"/>
                <w:szCs w:val="16"/>
              </w:rPr>
            </w:pPr>
            <w:r>
              <w:rPr>
                <w:rFonts w:ascii="Arial" w:eastAsia="Arial" w:hAnsi="Arial" w:cs="Arial"/>
                <w:color w:val="000000"/>
                <w:sz w:val="16"/>
                <w:szCs w:val="16"/>
              </w:rPr>
              <w:t>(подпись)</w:t>
            </w: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9E7646">
            <w:pPr>
              <w:jc w:val="center"/>
              <w:rPr>
                <w:rFonts w:ascii="Arial" w:eastAsia="Arial" w:hAnsi="Arial" w:cs="Arial"/>
                <w:color w:val="000000"/>
                <w:sz w:val="16"/>
                <w:szCs w:val="16"/>
              </w:rPr>
            </w:pPr>
            <w:r>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rPr>
          <w:trHeight w:val="1"/>
        </w:trPr>
        <w:tc>
          <w:tcPr>
            <w:tcW w:w="10372" w:type="dxa"/>
            <w:gridSpan w:val="6"/>
            <w:vMerge w:val="restart"/>
            <w:tcMar>
              <w:top w:w="0" w:type="dxa"/>
              <w:left w:w="0" w:type="dxa"/>
              <w:bottom w:w="0" w:type="dxa"/>
              <w:right w:w="0" w:type="dxa"/>
            </w:tcMar>
          </w:tcPr>
          <w:p w:rsidR="00E82963" w:rsidRDefault="00E82963">
            <w:pPr>
              <w:spacing w:line="1" w:lineRule="auto"/>
            </w:pPr>
          </w:p>
        </w:tc>
      </w:tr>
      <w:tr w:rsidR="00E82963">
        <w:tc>
          <w:tcPr>
            <w:tcW w:w="3118" w:type="dxa"/>
            <w:tcMar>
              <w:top w:w="0" w:type="dxa"/>
              <w:left w:w="0" w:type="dxa"/>
              <w:bottom w:w="0" w:type="dxa"/>
              <w:right w:w="0" w:type="dxa"/>
            </w:tcMar>
            <w:vAlign w:val="center"/>
          </w:tcPr>
          <w:p w:rsidR="00E82963" w:rsidRDefault="00E82963">
            <w:pPr>
              <w:spacing w:line="1" w:lineRule="auto"/>
            </w:pPr>
          </w:p>
        </w:tc>
        <w:tc>
          <w:tcPr>
            <w:tcW w:w="1700" w:type="dxa"/>
            <w:tcMar>
              <w:top w:w="0" w:type="dxa"/>
              <w:left w:w="0" w:type="dxa"/>
              <w:bottom w:w="0" w:type="dxa"/>
              <w:right w:w="0" w:type="dxa"/>
            </w:tcMar>
          </w:tcPr>
          <w:p w:rsidR="00E82963" w:rsidRDefault="009E7646">
            <w:pPr>
              <w:rPr>
                <w:color w:val="000000"/>
              </w:rPr>
            </w:pPr>
            <w:r>
              <w:rPr>
                <w:color w:val="000000"/>
              </w:rPr>
              <w:t xml:space="preserve"> </w:t>
            </w: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3118" w:type="dxa"/>
            <w:tcMar>
              <w:top w:w="0" w:type="dxa"/>
              <w:left w:w="0" w:type="dxa"/>
              <w:bottom w:w="0" w:type="dxa"/>
              <w:right w:w="0" w:type="dxa"/>
            </w:tcMar>
          </w:tcPr>
          <w:p w:rsidR="00E82963" w:rsidRDefault="009E7646">
            <w:pPr>
              <w:rPr>
                <w:color w:val="000000"/>
              </w:rPr>
            </w:pPr>
            <w:r>
              <w:rPr>
                <w:color w:val="000000"/>
              </w:rPr>
              <w:t xml:space="preserve"> </w:t>
            </w:r>
          </w:p>
        </w:tc>
        <w:tc>
          <w:tcPr>
            <w:tcW w:w="1700" w:type="dxa"/>
            <w:tcMar>
              <w:top w:w="0" w:type="dxa"/>
              <w:left w:w="0" w:type="dxa"/>
              <w:bottom w:w="0" w:type="dxa"/>
              <w:right w:w="0" w:type="dxa"/>
            </w:tcMar>
          </w:tcPr>
          <w:p w:rsidR="00E82963" w:rsidRDefault="00E82963">
            <w:pPr>
              <w:spacing w:line="1" w:lineRule="auto"/>
            </w:pPr>
          </w:p>
        </w:tc>
        <w:tc>
          <w:tcPr>
            <w:tcW w:w="850" w:type="dxa"/>
            <w:tcMar>
              <w:top w:w="0" w:type="dxa"/>
              <w:left w:w="0" w:type="dxa"/>
              <w:bottom w:w="0" w:type="dxa"/>
              <w:right w:w="0" w:type="dxa"/>
            </w:tcMar>
          </w:tcPr>
          <w:p w:rsidR="00E82963" w:rsidRDefault="00E82963">
            <w:pPr>
              <w:spacing w:line="1" w:lineRule="auto"/>
            </w:pPr>
          </w:p>
        </w:tc>
        <w:tc>
          <w:tcPr>
            <w:tcW w:w="3685" w:type="dxa"/>
            <w:tcMar>
              <w:top w:w="0" w:type="dxa"/>
              <w:left w:w="0" w:type="dxa"/>
              <w:bottom w:w="0" w:type="dxa"/>
              <w:right w:w="0" w:type="dxa"/>
            </w:tcMar>
          </w:tcPr>
          <w:p w:rsidR="00E82963" w:rsidRDefault="00E82963">
            <w:pPr>
              <w:spacing w:line="1" w:lineRule="auto"/>
            </w:pPr>
          </w:p>
        </w:tc>
        <w:tc>
          <w:tcPr>
            <w:tcW w:w="453" w:type="dxa"/>
            <w:tcMar>
              <w:top w:w="0" w:type="dxa"/>
              <w:left w:w="0" w:type="dxa"/>
              <w:bottom w:w="0" w:type="dxa"/>
              <w:right w:w="0" w:type="dxa"/>
            </w:tcMar>
          </w:tcPr>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r w:rsidR="00E82963">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E82963">
              <w:tc>
                <w:tcPr>
                  <w:tcW w:w="9806" w:type="dxa"/>
                  <w:tcMar>
                    <w:top w:w="0" w:type="dxa"/>
                    <w:left w:w="0" w:type="dxa"/>
                    <w:bottom w:w="0" w:type="dxa"/>
                    <w:right w:w="0" w:type="dxa"/>
                  </w:tcMar>
                </w:tcPr>
                <w:p w:rsidR="00E82963" w:rsidRDefault="009E7646">
                  <w:r>
                    <w:rPr>
                      <w:color w:val="000000"/>
                      <w:sz w:val="28"/>
                      <w:szCs w:val="28"/>
                    </w:rPr>
                    <w:t>20 января 2021 г.</w:t>
                  </w:r>
                </w:p>
              </w:tc>
            </w:tr>
          </w:tbl>
          <w:p w:rsidR="00E82963" w:rsidRDefault="00E82963">
            <w:pPr>
              <w:spacing w:line="1" w:lineRule="auto"/>
            </w:pPr>
          </w:p>
        </w:tc>
        <w:tc>
          <w:tcPr>
            <w:tcW w:w="566" w:type="dxa"/>
            <w:tcMar>
              <w:top w:w="0" w:type="dxa"/>
              <w:left w:w="0" w:type="dxa"/>
              <w:bottom w:w="0" w:type="dxa"/>
              <w:right w:w="0" w:type="dxa"/>
            </w:tcMar>
          </w:tcPr>
          <w:p w:rsidR="00E82963" w:rsidRDefault="00E82963">
            <w:pPr>
              <w:spacing w:line="1" w:lineRule="auto"/>
            </w:pPr>
          </w:p>
        </w:tc>
      </w:tr>
    </w:tbl>
    <w:p w:rsidR="00E82963" w:rsidRDefault="00E82963">
      <w:pPr>
        <w:sectPr w:rsidR="00E82963">
          <w:headerReference w:type="default" r:id="rId7"/>
          <w:footerReference w:type="default" r:id="rId8"/>
          <w:pgSz w:w="11905" w:h="16837"/>
          <w:pgMar w:top="1133" w:right="566" w:bottom="1133" w:left="1133" w:header="1133" w:footer="1133" w:gutter="0"/>
          <w:cols w:space="720"/>
        </w:sectPr>
      </w:pPr>
    </w:p>
    <w:p w:rsidR="00E82963" w:rsidRDefault="00E82963">
      <w:pPr>
        <w:rPr>
          <w:vanish/>
        </w:rPr>
      </w:pPr>
      <w:bookmarkStart w:id="4" w:name="__bookmark_9"/>
      <w:bookmarkEnd w:id="4"/>
    </w:p>
    <w:tbl>
      <w:tblPr>
        <w:tblOverlap w:val="never"/>
        <w:tblW w:w="10206" w:type="dxa"/>
        <w:tblLayout w:type="fixed"/>
        <w:tblLook w:val="01E0" w:firstRow="1" w:lastRow="1" w:firstColumn="1" w:lastColumn="1" w:noHBand="0" w:noVBand="0"/>
      </w:tblPr>
      <w:tblGrid>
        <w:gridCol w:w="56"/>
        <w:gridCol w:w="3290"/>
        <w:gridCol w:w="56"/>
        <w:gridCol w:w="56"/>
        <w:gridCol w:w="3290"/>
        <w:gridCol w:w="56"/>
        <w:gridCol w:w="56"/>
        <w:gridCol w:w="3290"/>
        <w:gridCol w:w="56"/>
      </w:tblGrid>
      <w:tr w:rsidR="00E82963">
        <w:tc>
          <w:tcPr>
            <w:tcW w:w="56" w:type="dxa"/>
            <w:tcMar>
              <w:top w:w="0" w:type="dxa"/>
              <w:left w:w="0" w:type="dxa"/>
              <w:bottom w:w="0" w:type="dxa"/>
              <w:right w:w="0" w:type="dxa"/>
            </w:tcMar>
          </w:tcPr>
          <w:p w:rsidR="00E82963" w:rsidRDefault="00E82963">
            <w:pPr>
              <w:spacing w:line="1" w:lineRule="auto"/>
              <w:jc w:val="center"/>
            </w:pPr>
          </w:p>
        </w:tc>
        <w:tc>
          <w:tcPr>
            <w:tcW w:w="3290"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3290"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3290" w:type="dxa"/>
            <w:tcMar>
              <w:top w:w="0" w:type="dxa"/>
              <w:left w:w="0" w:type="dxa"/>
              <w:bottom w:w="0" w:type="dxa"/>
              <w:right w:w="0" w:type="dxa"/>
            </w:tcMar>
          </w:tcPr>
          <w:p w:rsidR="00E82963" w:rsidRDefault="009E7646">
            <w:pPr>
              <w:jc w:val="right"/>
              <w:rPr>
                <w:color w:val="000000"/>
                <w:sz w:val="16"/>
                <w:szCs w:val="16"/>
              </w:rPr>
            </w:pPr>
            <w:r>
              <w:rPr>
                <w:color w:val="000000"/>
                <w:sz w:val="16"/>
                <w:szCs w:val="16"/>
              </w:rPr>
              <w:t>Таблица №3</w:t>
            </w:r>
          </w:p>
        </w:tc>
        <w:tc>
          <w:tcPr>
            <w:tcW w:w="56" w:type="dxa"/>
            <w:tcMar>
              <w:top w:w="0" w:type="dxa"/>
              <w:left w:w="0" w:type="dxa"/>
              <w:bottom w:w="0" w:type="dxa"/>
              <w:right w:w="0" w:type="dxa"/>
            </w:tcMar>
          </w:tcPr>
          <w:p w:rsidR="00E82963" w:rsidRDefault="00E82963">
            <w:pPr>
              <w:spacing w:line="1" w:lineRule="auto"/>
              <w:jc w:val="center"/>
            </w:pPr>
          </w:p>
        </w:tc>
      </w:tr>
      <w:tr w:rsidR="00E82963">
        <w:tc>
          <w:tcPr>
            <w:tcW w:w="56" w:type="dxa"/>
            <w:tcMar>
              <w:top w:w="0" w:type="dxa"/>
              <w:left w:w="0" w:type="dxa"/>
              <w:bottom w:w="0" w:type="dxa"/>
              <w:right w:w="0" w:type="dxa"/>
            </w:tcMar>
          </w:tcPr>
          <w:p w:rsidR="00E82963" w:rsidRDefault="00E82963">
            <w:pPr>
              <w:spacing w:line="1" w:lineRule="auto"/>
              <w:jc w:val="center"/>
            </w:pPr>
          </w:p>
        </w:tc>
        <w:tc>
          <w:tcPr>
            <w:tcW w:w="10094" w:type="dxa"/>
            <w:gridSpan w:val="7"/>
            <w:vMerge w:val="restart"/>
            <w:tcMar>
              <w:top w:w="0" w:type="dxa"/>
              <w:left w:w="0" w:type="dxa"/>
              <w:bottom w:w="0" w:type="dxa"/>
              <w:right w:w="0" w:type="dxa"/>
            </w:tcMar>
          </w:tcPr>
          <w:p w:rsidR="00E82963" w:rsidRDefault="009E7646">
            <w:pPr>
              <w:jc w:val="center"/>
              <w:rPr>
                <w:b/>
                <w:bCs/>
                <w:color w:val="000000"/>
                <w:sz w:val="16"/>
                <w:szCs w:val="16"/>
              </w:rPr>
            </w:pPr>
            <w:r>
              <w:rPr>
                <w:b/>
                <w:bCs/>
                <w:color w:val="000000"/>
                <w:sz w:val="16"/>
                <w:szCs w:val="16"/>
              </w:rPr>
              <w:t>Сведения об исполнении текстовых статей</w:t>
            </w:r>
            <w:r>
              <w:rPr>
                <w:b/>
                <w:bCs/>
                <w:color w:val="000000"/>
                <w:sz w:val="16"/>
                <w:szCs w:val="16"/>
              </w:rPr>
              <w:br/>
              <w:t>закона (решений) о бюджете</w:t>
            </w:r>
          </w:p>
        </w:tc>
        <w:tc>
          <w:tcPr>
            <w:tcW w:w="56" w:type="dxa"/>
            <w:tcMar>
              <w:top w:w="0" w:type="dxa"/>
              <w:left w:w="0" w:type="dxa"/>
              <w:bottom w:w="0" w:type="dxa"/>
              <w:right w:w="0" w:type="dxa"/>
            </w:tcMar>
          </w:tcPr>
          <w:p w:rsidR="00E82963" w:rsidRDefault="00E82963">
            <w:pPr>
              <w:spacing w:line="1" w:lineRule="auto"/>
              <w:jc w:val="center"/>
            </w:pPr>
          </w:p>
        </w:tc>
      </w:tr>
      <w:tr w:rsidR="00E82963">
        <w:tc>
          <w:tcPr>
            <w:tcW w:w="56" w:type="dxa"/>
            <w:tcMar>
              <w:top w:w="0" w:type="dxa"/>
              <w:left w:w="0" w:type="dxa"/>
              <w:bottom w:w="0" w:type="dxa"/>
              <w:right w:w="0" w:type="dxa"/>
            </w:tcMar>
          </w:tcPr>
          <w:p w:rsidR="00E82963" w:rsidRDefault="009E7646">
            <w:pPr>
              <w:jc w:val="center"/>
              <w:rPr>
                <w:color w:val="000000"/>
                <w:sz w:val="16"/>
                <w:szCs w:val="16"/>
              </w:rPr>
            </w:pPr>
            <w:r>
              <w:rPr>
                <w:color w:val="000000"/>
                <w:sz w:val="16"/>
                <w:szCs w:val="16"/>
              </w:rPr>
              <w:t xml:space="preserve"> </w:t>
            </w:r>
          </w:p>
        </w:tc>
        <w:tc>
          <w:tcPr>
            <w:tcW w:w="3290"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3290"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3290"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Причины неисполнения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Постановление Администрации Гаврилов-Ямского МР от 12.09.2014 № 1267 об утверждении муниципальной целевой программы  "Развитие агропромышленного комплекса Гаврилов-Ямского  муниципального района  Ярославской области на   2014-2020 годы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Ежемесячная доплата молодым специалистам с/х</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Постановление Администрации Гаврилов-Ямского муниципального района №1035</w:t>
            </w:r>
            <w:r>
              <w:rPr>
                <w:color w:val="000000"/>
                <w:sz w:val="16"/>
                <w:szCs w:val="16"/>
              </w:rPr>
              <w:tab/>
              <w:t>27.09.2019</w:t>
            </w:r>
            <w:r>
              <w:rPr>
                <w:color w:val="000000"/>
                <w:sz w:val="16"/>
                <w:szCs w:val="16"/>
              </w:rPr>
              <w:tab/>
              <w:t>"Об утверждении Муниципальная целевая программа «Профилактика безнадзорности, правонарушений и защита прав несовершеннолетних в Гаврилов-Ямском муниципальном районе» на 2020-2024 годы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Проведение акции "Поможем детям собраться в школу" (приобретение канц товаров), детские выездные общественные приемные при территориальной комиссии по делам несовершеннолетних и защите их прав (вручены сувениры- школьные принадлежности)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Постановление Администрации МР от 23.10.2018 №  11185 об утверждении Муниципальной целевой программы «Поддержка потребительского рынка на селе Гаврилов-Ямского муниципального района» на 2019-2021 годы.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Компенсация затрат на ГСМ по доставке товаров в отдал сель пункты (ЯО СПО</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Постановление Администрации МР от 23.10.2018 №  1184 об утверждении МЦП «Поддержка и развитие малого и среднего предпринимательства Гаврилов-Ямского муниципального района» на 2019-2021 гг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Участие в фестивале "Рыбинская заваруха"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Постановление Администрации МР от 27.02.2014 № 272 об утверждении ВЦП «Обеспечение функционирования органа повседневного управления Гаврилов-Ямского муниципального района» на 2014 – 2020 гг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Обеспечение деятельности МУ МЦУ  Гаврилов-Ямского муниципального района, Проведение мобилизационной тренировки в районе (приобретение раций - 2 шт., угловой шлифовальной машины)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56" w:type="dxa"/>
            <w:tcMar>
              <w:top w:w="0" w:type="dxa"/>
              <w:left w:w="0" w:type="dxa"/>
              <w:bottom w:w="0" w:type="dxa"/>
              <w:right w:w="0" w:type="dxa"/>
            </w:tcMar>
          </w:tcPr>
          <w:p w:rsidR="00E82963" w:rsidRDefault="009E7646">
            <w:pPr>
              <w:rPr>
                <w:color w:val="000000"/>
                <w:sz w:val="16"/>
                <w:szCs w:val="16"/>
              </w:rPr>
            </w:pPr>
            <w:r>
              <w:rPr>
                <w:color w:val="000000"/>
                <w:sz w:val="16"/>
                <w:szCs w:val="16"/>
              </w:rPr>
              <w:t xml:space="preserve"> </w:t>
            </w:r>
          </w:p>
        </w:tc>
        <w:tc>
          <w:tcPr>
            <w:tcW w:w="3290"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3290"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3290"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r>
    </w:tbl>
    <w:p w:rsidR="00E82963" w:rsidRDefault="00E82963">
      <w:pPr>
        <w:sectPr w:rsidR="00E82963">
          <w:headerReference w:type="default" r:id="rId9"/>
          <w:footerReference w:type="default" r:id="rId10"/>
          <w:pgSz w:w="11905" w:h="16837"/>
          <w:pgMar w:top="1133" w:right="566" w:bottom="1133" w:left="1133" w:header="1133" w:footer="1133" w:gutter="0"/>
          <w:cols w:space="720"/>
        </w:sectPr>
      </w:pPr>
    </w:p>
    <w:p w:rsidR="00E82963" w:rsidRDefault="00E82963">
      <w:pPr>
        <w:rPr>
          <w:vanish/>
        </w:rPr>
      </w:pPr>
      <w:bookmarkStart w:id="5" w:name="__bookmark_11"/>
      <w:bookmarkEnd w:id="5"/>
    </w:p>
    <w:tbl>
      <w:tblPr>
        <w:tblOverlap w:val="never"/>
        <w:tblW w:w="10206" w:type="dxa"/>
        <w:tblLayout w:type="fixed"/>
        <w:tblLook w:val="01E0" w:firstRow="1" w:lastRow="1" w:firstColumn="1" w:lastColumn="1" w:noHBand="0" w:noVBand="0"/>
      </w:tblPr>
      <w:tblGrid>
        <w:gridCol w:w="2495"/>
        <w:gridCol w:w="2495"/>
        <w:gridCol w:w="56"/>
        <w:gridCol w:w="2495"/>
        <w:gridCol w:w="56"/>
        <w:gridCol w:w="56"/>
        <w:gridCol w:w="2495"/>
        <w:gridCol w:w="58"/>
      </w:tblGrid>
      <w:tr w:rsidR="00E82963">
        <w:tc>
          <w:tcPr>
            <w:tcW w:w="2495" w:type="dxa"/>
            <w:tcMar>
              <w:top w:w="0" w:type="dxa"/>
              <w:left w:w="0" w:type="dxa"/>
              <w:bottom w:w="0" w:type="dxa"/>
              <w:right w:w="0" w:type="dxa"/>
            </w:tcMar>
          </w:tcPr>
          <w:p w:rsidR="00E82963" w:rsidRDefault="00E82963">
            <w:pPr>
              <w:spacing w:line="1" w:lineRule="auto"/>
              <w:jc w:val="center"/>
            </w:pPr>
          </w:p>
        </w:tc>
        <w:tc>
          <w:tcPr>
            <w:tcW w:w="2495"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2495"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2495" w:type="dxa"/>
            <w:tcMar>
              <w:top w:w="0" w:type="dxa"/>
              <w:left w:w="0" w:type="dxa"/>
              <w:bottom w:w="0" w:type="dxa"/>
              <w:right w:w="0" w:type="dxa"/>
            </w:tcMar>
          </w:tcPr>
          <w:p w:rsidR="00E82963" w:rsidRDefault="009E7646">
            <w:pPr>
              <w:jc w:val="right"/>
              <w:rPr>
                <w:color w:val="000000"/>
                <w:sz w:val="16"/>
                <w:szCs w:val="16"/>
              </w:rPr>
            </w:pPr>
            <w:r>
              <w:rPr>
                <w:color w:val="000000"/>
                <w:sz w:val="16"/>
                <w:szCs w:val="16"/>
              </w:rPr>
              <w:t>Таблица №4</w:t>
            </w:r>
          </w:p>
        </w:tc>
        <w:tc>
          <w:tcPr>
            <w:tcW w:w="58" w:type="dxa"/>
            <w:tcMar>
              <w:top w:w="0" w:type="dxa"/>
              <w:left w:w="0" w:type="dxa"/>
              <w:bottom w:w="0" w:type="dxa"/>
              <w:right w:w="0" w:type="dxa"/>
            </w:tcMar>
          </w:tcPr>
          <w:p w:rsidR="00E82963" w:rsidRDefault="00E82963">
            <w:pPr>
              <w:spacing w:line="1" w:lineRule="auto"/>
              <w:jc w:val="center"/>
            </w:pPr>
          </w:p>
        </w:tc>
      </w:tr>
      <w:tr w:rsidR="00E82963">
        <w:tc>
          <w:tcPr>
            <w:tcW w:w="10148" w:type="dxa"/>
            <w:gridSpan w:val="7"/>
            <w:vMerge w:val="restart"/>
            <w:tcMar>
              <w:top w:w="0" w:type="dxa"/>
              <w:left w:w="0" w:type="dxa"/>
              <w:bottom w:w="0" w:type="dxa"/>
              <w:right w:w="0" w:type="dxa"/>
            </w:tcMar>
          </w:tcPr>
          <w:p w:rsidR="00E82963" w:rsidRDefault="009E7646">
            <w:pPr>
              <w:jc w:val="center"/>
              <w:rPr>
                <w:b/>
                <w:bCs/>
                <w:color w:val="000000"/>
                <w:sz w:val="16"/>
                <w:szCs w:val="16"/>
              </w:rPr>
            </w:pPr>
            <w:r>
              <w:rPr>
                <w:b/>
                <w:bCs/>
                <w:color w:val="000000"/>
                <w:sz w:val="16"/>
                <w:szCs w:val="16"/>
              </w:rPr>
              <w:t>Сведения об основных положениях учетной политики</w:t>
            </w:r>
          </w:p>
        </w:tc>
        <w:tc>
          <w:tcPr>
            <w:tcW w:w="58" w:type="dxa"/>
            <w:tcMar>
              <w:top w:w="0" w:type="dxa"/>
              <w:left w:w="0" w:type="dxa"/>
              <w:bottom w:w="0" w:type="dxa"/>
              <w:right w:w="0" w:type="dxa"/>
            </w:tcMar>
          </w:tcPr>
          <w:p w:rsidR="00E82963" w:rsidRDefault="00E82963">
            <w:pPr>
              <w:spacing w:line="1" w:lineRule="auto"/>
              <w:jc w:val="center"/>
            </w:pPr>
          </w:p>
        </w:tc>
      </w:tr>
      <w:tr w:rsidR="00E82963">
        <w:tc>
          <w:tcPr>
            <w:tcW w:w="2495" w:type="dxa"/>
            <w:tcMar>
              <w:top w:w="0" w:type="dxa"/>
              <w:left w:w="0" w:type="dxa"/>
              <w:bottom w:w="0" w:type="dxa"/>
              <w:right w:w="0" w:type="dxa"/>
            </w:tcMar>
          </w:tcPr>
          <w:p w:rsidR="00E82963" w:rsidRDefault="009E7646">
            <w:pPr>
              <w:jc w:val="center"/>
              <w:rPr>
                <w:color w:val="000000"/>
                <w:sz w:val="16"/>
                <w:szCs w:val="16"/>
              </w:rPr>
            </w:pPr>
            <w:r>
              <w:rPr>
                <w:color w:val="000000"/>
                <w:sz w:val="16"/>
                <w:szCs w:val="16"/>
              </w:rPr>
              <w:t xml:space="preserve"> </w:t>
            </w:r>
          </w:p>
        </w:tc>
        <w:tc>
          <w:tcPr>
            <w:tcW w:w="2495"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2495"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56" w:type="dxa"/>
            <w:tcMar>
              <w:top w:w="0" w:type="dxa"/>
              <w:left w:w="0" w:type="dxa"/>
              <w:bottom w:w="0" w:type="dxa"/>
              <w:right w:w="0" w:type="dxa"/>
            </w:tcMar>
          </w:tcPr>
          <w:p w:rsidR="00E82963" w:rsidRDefault="00E82963">
            <w:pPr>
              <w:spacing w:line="1" w:lineRule="auto"/>
              <w:jc w:val="center"/>
            </w:pPr>
          </w:p>
        </w:tc>
        <w:tc>
          <w:tcPr>
            <w:tcW w:w="2495" w:type="dxa"/>
            <w:tcMar>
              <w:top w:w="0" w:type="dxa"/>
              <w:left w:w="0" w:type="dxa"/>
              <w:bottom w:w="0" w:type="dxa"/>
              <w:right w:w="0" w:type="dxa"/>
            </w:tcMar>
          </w:tcPr>
          <w:p w:rsidR="00E82963" w:rsidRDefault="00E82963">
            <w:pPr>
              <w:spacing w:line="1" w:lineRule="auto"/>
              <w:jc w:val="center"/>
            </w:pPr>
          </w:p>
        </w:tc>
        <w:tc>
          <w:tcPr>
            <w:tcW w:w="58" w:type="dxa"/>
            <w:tcMar>
              <w:top w:w="0" w:type="dxa"/>
              <w:left w:w="0" w:type="dxa"/>
              <w:bottom w:w="0" w:type="dxa"/>
              <w:right w:w="0" w:type="dxa"/>
            </w:tcMar>
          </w:tcPr>
          <w:p w:rsidR="00E82963" w:rsidRDefault="00E82963">
            <w:pPr>
              <w:spacing w:line="1" w:lineRule="auto"/>
              <w:jc w:val="center"/>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Наименование объекта учета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Характеристика применяемого способа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1</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jc w:val="center"/>
              <w:rPr>
                <w:color w:val="000000"/>
                <w:sz w:val="16"/>
                <w:szCs w:val="16"/>
              </w:rPr>
            </w:pPr>
            <w:r>
              <w:rPr>
                <w:color w:val="000000"/>
                <w:sz w:val="16"/>
                <w:szCs w:val="16"/>
              </w:rPr>
              <w:t>4</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jc w:val="center"/>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rPr>
                <w:color w:val="000000"/>
                <w:sz w:val="16"/>
                <w:szCs w:val="16"/>
              </w:rPr>
            </w:pP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null null</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rPr>
                <w:color w:val="000000"/>
                <w:sz w:val="16"/>
                <w:szCs w:val="16"/>
              </w:rPr>
            </w:pP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null null</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Основные средства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1 10100000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Определение первоначальной стоимости</w:t>
            </w:r>
            <w:r>
              <w:rPr>
                <w:color w:val="000000"/>
                <w:sz w:val="16"/>
                <w:szCs w:val="16"/>
              </w:rPr>
              <w:br/>
              <w:t>Определение срока 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1. Исходя из ожидаемого срока получения экономических выгод и (или) полезного потенциала, заключенных в активе, признаваемом объектом основных средств</w:t>
            </w:r>
            <w:r>
              <w:rPr>
                <w:color w:val="000000"/>
                <w:sz w:val="16"/>
                <w:szCs w:val="16"/>
              </w:rPr>
              <w:br/>
              <w:t xml:space="preserve"> 2. 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Не произведенные активы</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1 10300000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Определение первоначальной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Земельные участки, закрепленные за субъектом учета на праве безвозмездного пользования, принимаются к учету в составе непроизведенных активов по кадастровой стоимости</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Амортизация</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1 10400000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Метод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Линейный метод</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Материальные запасы</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1 10500000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 Определение фактической стоимости (при осуществлении централизованных закупок и (или) осуществлении торговой (производственной) деятельности) - 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 Закупки не осуществляются централизованно, торговая (производственная) деятельность не осуществляется</w:t>
            </w:r>
            <w:r>
              <w:rPr>
                <w:color w:val="000000"/>
                <w:sz w:val="16"/>
                <w:szCs w:val="16"/>
              </w:rPr>
              <w:br/>
              <w:t>- По фактической стоимости каждой единицы</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Права пользования активами</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1 11100000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Определение первоначальной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возникающие в рамках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 цене значительно ниже рыночной стоимости ( объекты учета аренды на льготных условиях)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(справедливая стоимость арендных платежей).</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Денежные средства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1 20100000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Поступление денежных средств, кассовый расход</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Дебиторская задолженность</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1 20600000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Согласно договоров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По фактической стоимости</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Расчеты по ущербу имуществу</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1 20900000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В сумме задолженности по предварительным оплатам, не возвращенных контрагентом в случае расторжения договоров, в том числе по решению суда,  в сумме своевременно не возвращенной задолженности подотчетных лиц, в сумме ущерба за неотработанные дни отпуска при увольнении работников</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Расчеты по принятым обязательствам</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1 30200000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Заработная плата, пособие по временной нетрудоспособности, расчеты с поставщиками и подрядчиками</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Расчеты по платежам с бюджетом</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E82963">
              <w:trPr>
                <w:jc w:val="center"/>
              </w:trPr>
              <w:tc>
                <w:tcPr>
                  <w:tcW w:w="2495" w:type="dxa"/>
                  <w:tcMar>
                    <w:top w:w="0" w:type="dxa"/>
                    <w:left w:w="0" w:type="dxa"/>
                    <w:bottom w:w="0" w:type="dxa"/>
                    <w:right w:w="0" w:type="dxa"/>
                  </w:tcMar>
                </w:tcPr>
                <w:p w:rsidR="00E82963" w:rsidRDefault="009E7646">
                  <w:pPr>
                    <w:jc w:val="center"/>
                  </w:pPr>
                  <w:r>
                    <w:rPr>
                      <w:color w:val="000000"/>
                      <w:sz w:val="16"/>
                      <w:szCs w:val="16"/>
                    </w:rPr>
                    <w:t>1 30300000</w:t>
                  </w:r>
                </w:p>
              </w:tc>
            </w:tr>
          </w:tbl>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E82963">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82963" w:rsidRDefault="00E82963">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E82963" w:rsidRDefault="009E7646">
            <w:pPr>
              <w:rPr>
                <w:color w:val="000000"/>
                <w:sz w:val="16"/>
                <w:szCs w:val="16"/>
              </w:rPr>
            </w:pPr>
            <w:r>
              <w:rPr>
                <w:color w:val="000000"/>
                <w:sz w:val="16"/>
                <w:szCs w:val="16"/>
              </w:rPr>
              <w:t>Начисление налогов и платежей в бюджет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E82963" w:rsidRDefault="00E82963">
            <w:pPr>
              <w:spacing w:line="1" w:lineRule="auto"/>
            </w:pPr>
          </w:p>
        </w:tc>
      </w:tr>
      <w:tr w:rsidR="00E82963">
        <w:tc>
          <w:tcPr>
            <w:tcW w:w="2495" w:type="dxa"/>
            <w:tcMar>
              <w:top w:w="0" w:type="dxa"/>
              <w:left w:w="0" w:type="dxa"/>
              <w:bottom w:w="0" w:type="dxa"/>
              <w:right w:w="0" w:type="dxa"/>
            </w:tcMar>
          </w:tcPr>
          <w:p w:rsidR="00E82963" w:rsidRDefault="009E7646">
            <w:pPr>
              <w:rPr>
                <w:color w:val="000000"/>
                <w:sz w:val="16"/>
                <w:szCs w:val="16"/>
              </w:rPr>
            </w:pPr>
            <w:r>
              <w:rPr>
                <w:color w:val="000000"/>
                <w:sz w:val="16"/>
                <w:szCs w:val="16"/>
              </w:rPr>
              <w:t xml:space="preserve"> </w:t>
            </w:r>
          </w:p>
        </w:tc>
        <w:tc>
          <w:tcPr>
            <w:tcW w:w="2495"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2495"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56" w:type="dxa"/>
            <w:tcMar>
              <w:top w:w="0" w:type="dxa"/>
              <w:left w:w="0" w:type="dxa"/>
              <w:bottom w:w="0" w:type="dxa"/>
              <w:right w:w="0" w:type="dxa"/>
            </w:tcMar>
          </w:tcPr>
          <w:p w:rsidR="00E82963" w:rsidRDefault="00E82963">
            <w:pPr>
              <w:spacing w:line="1" w:lineRule="auto"/>
            </w:pPr>
          </w:p>
        </w:tc>
        <w:tc>
          <w:tcPr>
            <w:tcW w:w="2495" w:type="dxa"/>
            <w:tcMar>
              <w:top w:w="0" w:type="dxa"/>
              <w:left w:w="0" w:type="dxa"/>
              <w:bottom w:w="0" w:type="dxa"/>
              <w:right w:w="0" w:type="dxa"/>
            </w:tcMar>
          </w:tcPr>
          <w:p w:rsidR="00E82963" w:rsidRDefault="00E82963">
            <w:pPr>
              <w:spacing w:line="1" w:lineRule="auto"/>
            </w:pPr>
          </w:p>
        </w:tc>
        <w:tc>
          <w:tcPr>
            <w:tcW w:w="58" w:type="dxa"/>
            <w:tcMar>
              <w:top w:w="0" w:type="dxa"/>
              <w:left w:w="0" w:type="dxa"/>
              <w:bottom w:w="0" w:type="dxa"/>
              <w:right w:w="0" w:type="dxa"/>
            </w:tcMar>
          </w:tcPr>
          <w:p w:rsidR="00E82963" w:rsidRDefault="00E82963">
            <w:pPr>
              <w:spacing w:line="1" w:lineRule="auto"/>
            </w:pPr>
          </w:p>
        </w:tc>
      </w:tr>
    </w:tbl>
    <w:p w:rsidR="009E7646" w:rsidRDefault="009E7646"/>
    <w:sectPr w:rsidR="009E7646" w:rsidSect="00E82963">
      <w:headerReference w:type="default" r:id="rId11"/>
      <w:footerReference w:type="default" r:id="rId12"/>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0D" w:rsidRDefault="00CB1A0D" w:rsidP="00E82963">
      <w:r>
        <w:separator/>
      </w:r>
    </w:p>
  </w:endnote>
  <w:endnote w:type="continuationSeparator" w:id="0">
    <w:p w:rsidR="00CB1A0D" w:rsidRDefault="00CB1A0D" w:rsidP="00E8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82963">
      <w:trPr>
        <w:trHeight w:val="56"/>
      </w:trPr>
      <w:tc>
        <w:tcPr>
          <w:tcW w:w="10421" w:type="dxa"/>
        </w:tcPr>
        <w:p w:rsidR="00E82963" w:rsidRDefault="00E82963">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82963">
      <w:trPr>
        <w:trHeight w:val="56"/>
      </w:trPr>
      <w:tc>
        <w:tcPr>
          <w:tcW w:w="10421" w:type="dxa"/>
        </w:tcPr>
        <w:p w:rsidR="00E82963" w:rsidRDefault="00E82963">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82963">
      <w:trPr>
        <w:trHeight w:val="56"/>
      </w:trPr>
      <w:tc>
        <w:tcPr>
          <w:tcW w:w="10421" w:type="dxa"/>
        </w:tcPr>
        <w:p w:rsidR="00E82963" w:rsidRDefault="00E82963">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0D" w:rsidRDefault="00CB1A0D" w:rsidP="00E82963">
      <w:r>
        <w:separator/>
      </w:r>
    </w:p>
  </w:footnote>
  <w:footnote w:type="continuationSeparator" w:id="0">
    <w:p w:rsidR="00CB1A0D" w:rsidRDefault="00CB1A0D" w:rsidP="00E8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82963">
      <w:trPr>
        <w:trHeight w:val="56"/>
      </w:trPr>
      <w:tc>
        <w:tcPr>
          <w:tcW w:w="10421" w:type="dxa"/>
        </w:tcPr>
        <w:p w:rsidR="00E82963" w:rsidRDefault="00E82963">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82963">
      <w:trPr>
        <w:trHeight w:val="56"/>
      </w:trPr>
      <w:tc>
        <w:tcPr>
          <w:tcW w:w="10421" w:type="dxa"/>
        </w:tcPr>
        <w:p w:rsidR="00E82963" w:rsidRDefault="00E82963">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82963">
      <w:trPr>
        <w:trHeight w:val="56"/>
      </w:trPr>
      <w:tc>
        <w:tcPr>
          <w:tcW w:w="10421" w:type="dxa"/>
        </w:tcPr>
        <w:p w:rsidR="00E82963" w:rsidRDefault="00E8296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63"/>
    <w:rsid w:val="00746598"/>
    <w:rsid w:val="009E7646"/>
    <w:rsid w:val="00CB1A0D"/>
    <w:rsid w:val="00CC666C"/>
    <w:rsid w:val="00DD6305"/>
    <w:rsid w:val="00E8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E82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E82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5507</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buh_0</dc:creator>
  <cp:lastModifiedBy>Пользователь Windows</cp:lastModifiedBy>
  <cp:revision>2</cp:revision>
  <dcterms:created xsi:type="dcterms:W3CDTF">2021-05-13T13:16:00Z</dcterms:created>
  <dcterms:modified xsi:type="dcterms:W3CDTF">2021-05-13T13:16:00Z</dcterms:modified>
</cp:coreProperties>
</file>