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1702B5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1702B5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702B5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1702B5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1702B5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1702B5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2024 г.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01.01.2024</w:t>
            </w:r>
          </w:p>
        </w:tc>
      </w:tr>
      <w:tr w:rsidR="001702B5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1702B5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</w:tr>
      <w:tr w:rsidR="001702B5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spacing w:line="1" w:lineRule="auto"/>
            </w:pPr>
          </w:p>
        </w:tc>
      </w:tr>
      <w:tr w:rsidR="001702B5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69933780</w:t>
            </w:r>
          </w:p>
        </w:tc>
      </w:tr>
      <w:tr w:rsidR="001702B5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Управление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</w:t>
            </w:r>
          </w:p>
        </w:tc>
      </w:tr>
      <w:tr w:rsidR="001702B5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Бюджет Гаврилов-Ямского муниципального района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1702B5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78612000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</w:tr>
      <w:tr w:rsidR="001702B5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1702B5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1702B5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1702B5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1702B5" w:rsidRDefault="001702B5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1702B5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1702B5" w:rsidRDefault="00BE50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1702B5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ИНН: 7616008970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КПП: 761601001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Юридический адрес: 152240, Ярославская обл., г. Гаврилов-Ям, ул. Советская 51,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Дата государственной регистрации  28.01.2011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ОКПО                                                   69933780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ОКОГУ                                                 3210000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ОГРН                                                    1117609000123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ОКФС                                                   14  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ОКОПФ                                                75404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ОКВЭД                                                 84.11.33 Деятельность органов местного самоуправления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                                                  муниципальных районов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видах экономической деятельности: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Основной вид деятельности: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84.11.3 Деятельность органов местного самоуправления по управлению вопросами общего характера.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Дополнительные виды деятельности: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45.2        Строительство зданий и сооружений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74.14      Консультирование по вопросам коммерческой деятельности и управления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70.32.1   Управление эксплуатацией жилого фонда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70.32.2   Управление эксплуатаций нежилого фонда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70.32      Управление недвижимым имуществом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70.20.11 Архитектурная деятельность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75.11      Государственное управление общего характера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74.20      Деятельность в области архитектуры, инженерно-технического проектирования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жилищно-коммунального хозяйства, капитального строительства и природопользования Администрации Гаврилов - Ямского муниципального района создано Постановлением Главы  Гаврилов - Ямского МО от 26.11.2010г №1709 «О создании Управления жилищно-коммунального хозяйства, капитального строительства и природопользования».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Начальник Управления ЖКХ - Давыдова Жанна Александровна данную должность 19.01.2023г     по настоящее время.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Главный бухгалтер – Бобочина Виктория Александровна занимает данную должность 19.01.2023г по настоящее время.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жилищно-коммунального хозяйства, капитального строительства и природопользования Администрации Гаврилов - Ямского муниципального района открыты следующие лицевые счета: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858.01.001.1 счет получателя федеральных бюджетных средств,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858.01.001.2 счет получателя бюджетных средств,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858.01.001.3 счет для перечисления финансовой помощи,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858.01.001.5 счет для учета невыясненных поступлений,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858.01.001.7 счет для средств во временном распоряжении.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 жилищно-коммунального хозяйства, капитального строительства и природопользования Администрации Гаврилов - Ямского муниципального района обладает правами юридического лица, имеет текущие счета в банке, печать со своим наименованием, обладает имуществом на праве оперативного управления, имеет право от своего имени заключать договоры.</w:t>
                  </w:r>
                </w:p>
                <w:p w:rsidR="001702B5" w:rsidRDefault="00BE509F">
                  <w:pPr>
                    <w:spacing w:before="190" w:after="19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Основными задачами Управления жилищно-коммунального хозяйства, капитального строительства и природопользования Администрации Гаврилов - Ямского муниципального района являются:</w:t>
                  </w:r>
                </w:p>
                <w:p w:rsidR="001702B5" w:rsidRDefault="00BE509F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-организация в границах муниципального района электро,- и газоснабжения поселений;</w:t>
                  </w:r>
                </w:p>
                <w:p w:rsidR="001702B5" w:rsidRDefault="00BE509F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координация тепло-, теплоснабжения, водоотведения на территории муниципальных поселений;</w:t>
                  </w:r>
                </w:p>
                <w:p w:rsidR="001702B5" w:rsidRDefault="00BE509F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муниципального района, за исключением дорог общего пользования</w:t>
                  </w:r>
                </w:p>
                <w:p w:rsidR="001702B5" w:rsidRDefault="00BE509F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осуществление в установленном законом порядке исполнительной,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распорядительной и контрольной деятельности в сфере охраны окружающей среды на территории муниципального района</w:t>
                  </w:r>
                </w:p>
                <w:p w:rsidR="001702B5" w:rsidRDefault="00BE509F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организация мероприятий межпоселенческого характера по охране окружающей среды</w:t>
                  </w:r>
                </w:p>
                <w:p w:rsidR="001702B5" w:rsidRDefault="00BE509F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организация утилизации и переработки бытовых  и промышленных отходов</w:t>
                  </w:r>
                </w:p>
                <w:p w:rsidR="001702B5" w:rsidRDefault="00BE509F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осуществление контроля за предоставлением отчетности уполномоченными лицами в департамент дорожного хозяйства Ярославской области об использовании субсидий на капитальный ремонт автомобильных дорог общего пользования муниципальной собственности из областного бюджета и исполнения Администрацией муниципального района взятых на себя обязательств</w:t>
                  </w:r>
                </w:p>
                <w:p w:rsidR="001702B5" w:rsidRDefault="00BE509F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обеспечение сбора и хранения информации о техническом состоянии автомобильных дорог местного значения муниципальной собственности</w:t>
                  </w:r>
                </w:p>
                <w:p w:rsidR="001702B5" w:rsidRDefault="00BE509F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постановка в установленном порядке документов для постановки на учет бесхозных автодорог</w:t>
                  </w:r>
                </w:p>
                <w:p w:rsidR="001702B5" w:rsidRDefault="00BE509F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участие в приемке выполненных работ на объектах дорожной и обеспечивает учет объемов и стоимости выполненных и оплаченных работ</w:t>
                  </w:r>
                </w:p>
                <w:p w:rsidR="001702B5" w:rsidRDefault="00BE509F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обеспечение реализации политики Гаврилов - Ямского муниципального района в области строительства, реконструкции, капитальный ремонт объектов капитального строительства</w:t>
                  </w:r>
                </w:p>
                <w:p w:rsidR="001702B5" w:rsidRDefault="00BE509F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выполнение заданий по строительству, реконструкции и капитальному ремонту жилых домов, объектов образования, охраны здоровья, связи, транспорта, торговли, общественного питания, коммунального хозяйства, культурно-бытового и другого назначения и эффективного использования капитальных вложений, предназначенных на указанные цели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-содействие внедрению в строительстве прогрессивных проектных решений, новых строительных материалов, конструкций и изделий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структуре Управления жилищно-коммунального хозяйства, капитального строительства и природопользования Администрации Гаврилов - Ямского муниципального района 2 отдела: 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отдел капитального строительства и природопользования (2 муниципальных служащих);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отдел жилищно-коммунального хозяйства (3 муниципальных служащих);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бухгалтера  работает по гражданско-правовому договору.</w:t>
                  </w:r>
                </w:p>
                <w:p w:rsidR="001702B5" w:rsidRDefault="001702B5">
                  <w:pPr>
                    <w:ind w:firstLine="700"/>
                    <w:jc w:val="both"/>
                  </w:pP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Численность Управления жилищно-коммунального хозяйства, капитального строительства и природопользования Администрации Гаврилов - Ямского муниципального района на 01.01.2023 г. Составляет 4 чел.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своей деятельности Управление жилищно-коммунального хозяйства, капитального строительства и природопользования Администрации Гаврилов - Ямского муниципального района подчиняется Главе Администрации Гаврилов-Ямского муниципального района. </w:t>
                  </w:r>
                </w:p>
              </w:tc>
            </w:tr>
          </w:tbl>
          <w:p w:rsidR="001702B5" w:rsidRDefault="00BE50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1702B5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1702B5" w:rsidRDefault="00BE50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1702B5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структуре Управления жилищно-коммунального хозяйства, капитального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строительства и природопользования Администрации Гаврилов - Ямского муниципального района 2 отдела: 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отдел капитального строительства и природопользования (2 муниципальных служащих);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отдел жилищно-коммунального хозяйства (3 муниципальных служащих);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бухгалтера  работает по гражданско-правовому договору.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Численность Управления жилищно-коммунального хозяйства, капитального строительства и природопользования Администрации Гаврилов - Ямского муниципального района на 01.01.2024 г. составляет 4 человека.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В своей деятельности Управление жилищно-коммунального хозяйства, капитального строительства и природопользования Администрации Гаврилов - Ямского муниципального района подчиняется Главе Администрации Гаврилов-Ямского муниципального района.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в 2023 году было проведено  13  электронных аукциона в открытой форме, по результатам которой были заключены следующие муниципальные контракты</w:t>
                  </w:r>
                </w:p>
                <w:p w:rsidR="001702B5" w:rsidRDefault="001702B5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09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5"/>
                    <w:gridCol w:w="1905"/>
                    <w:gridCol w:w="1342"/>
                    <w:gridCol w:w="1199"/>
                    <w:gridCol w:w="2759"/>
                    <w:gridCol w:w="1909"/>
                  </w:tblGrid>
                  <w:tr w:rsidR="001702B5">
                    <w:trPr>
                      <w:trHeight w:val="230"/>
                    </w:trPr>
                    <w:tc>
                      <w:tcPr>
                        <w:tcW w:w="119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Принятые</w:t>
                        </w:r>
                      </w:p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меры</w:t>
                        </w:r>
                      </w:p>
                    </w:tc>
                    <w:tc>
                      <w:tcPr>
                        <w:tcW w:w="4446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Распорядительный документ</w:t>
                        </w:r>
                      </w:p>
                    </w:tc>
                    <w:tc>
                      <w:tcPr>
                        <w:tcW w:w="27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Результаты принятых мер</w:t>
                        </w:r>
                      </w:p>
                    </w:tc>
                    <w:tc>
                      <w:tcPr>
                        <w:tcW w:w="190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 контракта</w:t>
                        </w:r>
                      </w:p>
                    </w:tc>
                  </w:tr>
                  <w:tr w:rsidR="001702B5">
                    <w:tc>
                      <w:tcPr>
                        <w:tcW w:w="1195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номер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дата</w:t>
                        </w:r>
                      </w:p>
                    </w:tc>
                    <w:tc>
                      <w:tcPr>
                        <w:tcW w:w="275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</w:pPr>
                      </w:p>
                    </w:tc>
                  </w:tr>
                  <w:tr w:rsidR="001702B5">
                    <w:tc>
                      <w:tcPr>
                        <w:tcW w:w="1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1702B5">
                    <w:tc>
                      <w:tcPr>
                        <w:tcW w:w="1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Открытый аукцион в электронной форме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Протокол подведения итогов открытого  аукциона в электронной форме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3761600897023000003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14.03.2023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Ремонт автомобильной общего пользования местного значения от автомобильной дороги регионального значения Ульянова-Пасынкова д.Жманка Митинского сельского поселения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3 310 546,28 руб.</w:t>
                        </w:r>
                      </w:p>
                    </w:tc>
                  </w:tr>
                  <w:tr w:rsidR="001702B5">
                    <w:tc>
                      <w:tcPr>
                        <w:tcW w:w="1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Открытый аукцион в электронный форме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Протокол подведения итогов открытого  аукциона в электронной форме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3761600897023000001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11.01.2023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Выполнение работ связанных с осуществлением регулярных перевозок по регулируемым в 2022году тарифам на территории Гаврилов-Ямского муниципального района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3 000 000 руб.</w:t>
                        </w:r>
                      </w:p>
                    </w:tc>
                  </w:tr>
                  <w:tr w:rsidR="001702B5">
                    <w:tc>
                      <w:tcPr>
                        <w:tcW w:w="1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Открытый аукцион в электронной форме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Протокол подведения итогов открытого  аукциона в электронной форме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3761600897023000006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26.05.2023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Строительство сетей по подключению и установке блочно-модульной газовой котельной МОБУ Шалаевская НШ-ДС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6 961 342,73 руб.</w:t>
                        </w:r>
                      </w:p>
                    </w:tc>
                  </w:tr>
                  <w:tr w:rsidR="001702B5">
                    <w:tc>
                      <w:tcPr>
                        <w:tcW w:w="1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Открытый аукцион в электронной форме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Протокол подведения итогов открытого  аукциона в электронной форме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3761600897023000008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19.06.2023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Оказание услуг по разработке комплексной схемы организации дорожного движения   в Гаврилов-Ямском муниципальном районе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345 671,67 руб.</w:t>
                        </w:r>
                      </w:p>
                    </w:tc>
                  </w:tr>
                  <w:tr w:rsidR="001702B5">
                    <w:tc>
                      <w:tcPr>
                        <w:tcW w:w="1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Открытый аукцион в электронной форме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Протокол подведения итогов открытого  аукциона в электронной форме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3761600897023000005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14.08.2023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Ремонт автомобильной дороги улично-дорожной сети ул.Сосновая д.Прошенино Заячье-Холмского сельского поселения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1 199 000</w:t>
                        </w:r>
                      </w:p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руб.</w:t>
                        </w:r>
                      </w:p>
                    </w:tc>
                  </w:tr>
                  <w:tr w:rsidR="001702B5">
                    <w:tc>
                      <w:tcPr>
                        <w:tcW w:w="1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Открытый аукцион в электронной форме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Протокол подведения итогов открытого  аукциона в электронной форме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3761600897023000006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01.09.2023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Ремонт автомобильной дороги общего пользования местного значения 1З79-д.Талица Шопшинского с.п.Гаврилов-Ямского муниципального района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2 126 430,26 руб.</w:t>
                        </w:r>
                      </w:p>
                    </w:tc>
                  </w:tr>
                  <w:tr w:rsidR="001702B5">
                    <w:tc>
                      <w:tcPr>
                        <w:tcW w:w="1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Открытый аукцион в электронной форме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Протокол подведения итогов открытого  аукциона в электронной форме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3761600897023000007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17.10.2023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Ремонт подъезда к СНТ 6 г.Гаврилов-Ям ул.Маяковского.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80" w:type="dxa"/>
                          <w:bottom w:w="0" w:type="dxa"/>
                          <w:right w:w="8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2 696 295,36 руб.</w:t>
                        </w:r>
                      </w:p>
                    </w:tc>
                  </w:tr>
                  <w:tr w:rsidR="001702B5">
                    <w:tc>
                      <w:tcPr>
                        <w:tcW w:w="1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Открытый аукцион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в электронной форме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Протокол подведения итогов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открытого  аукциона в электронной форме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3761600897023000008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11.09.2023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Капитальный ремонт улично-дорожной сети ул.Гагарина-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ПК201 в с.Великое Великосельского сельского поселения в Гаврилов-Ямском районе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1 400 000 руб.</w:t>
                        </w:r>
                      </w:p>
                    </w:tc>
                  </w:tr>
                  <w:tr w:rsidR="001702B5">
                    <w:tc>
                      <w:tcPr>
                        <w:tcW w:w="1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Открытый аукцион в электронной форме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Протокол подведения итогов открытого  аукциона в электронной форме 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3761600897023000009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10.10.2023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Ремонт дороги на ул.Семашков г.Гаврилов-Ям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1 354 221,56 руб.</w:t>
                        </w:r>
                      </w:p>
                    </w:tc>
                  </w:tr>
                  <w:tr w:rsidR="001702B5">
                    <w:tc>
                      <w:tcPr>
                        <w:tcW w:w="1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Открытый аукцион в электронной форме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Протокол подведения итогов открытого  аукциона в электронной форме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3761600897023000010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13.10.2023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Ремонт автомобильной дороги д.Кузовково-д.Черная-д.Цыбаки Великосельского сельского поселения на  территории Гаврилов-Ямского муниципального района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3 000 000      руб.</w:t>
                        </w:r>
                      </w:p>
                    </w:tc>
                  </w:tr>
                  <w:tr w:rsidR="001702B5">
                    <w:tc>
                      <w:tcPr>
                        <w:tcW w:w="1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Открытый аукцион в электронной форме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Протокол подведения итогов открытого  аукциона в электронной форме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3761600897023000011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18.10.2023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Капитальный ремонт ул.Спортивная (в части ремонта к МДОУ детский сад1 "Теремок" в г.Гаврилов-Ям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4 134 000 руб.</w:t>
                        </w:r>
                      </w:p>
                    </w:tc>
                  </w:tr>
                  <w:tr w:rsidR="001702B5">
                    <w:tc>
                      <w:tcPr>
                        <w:tcW w:w="1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Открытый аукцион в электронной форме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Протокол подведения итогов открытого    аукциона в электронной форме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3761600897023000012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20.10.2023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Ремонт  подъезда к СНТ №7 г.Гаврилов-Ям ул.Дзержинского 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3 778 155,93 руб.</w:t>
                        </w:r>
                      </w:p>
                    </w:tc>
                  </w:tr>
                  <w:tr w:rsidR="001702B5">
                    <w:tc>
                      <w:tcPr>
                        <w:tcW w:w="1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Открытый аукцион в электронной форме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Протокол подведения итогов открытого    аукциона в электронной форме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3761600897023000013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11.04.2023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Выполнение работ связанных с осуществлением регулярных перевозок по регулируемым в 2022году тарифам на территории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Гаврилов-Ямского муниципального района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8 886 4 915,77 руб.</w:t>
                        </w:r>
                      </w:p>
                    </w:tc>
                  </w:tr>
                </w:tbl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Сумма экономии по муниципальным контрактам на 01.01.2024 года составила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1 864 064 ,04 руб.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Все сотрудники обеспечены техническими и программными средствами.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Для выполнения своих должностных обязанностей. В своей работе Управление использует следующие программные средства: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- бухгалтерский учет ведется с использованием программного продукта АС «Смета»;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заполнение и расчет фактических и прогнозируемых объемов закупаемой продукции  и сдача «Отчет об объемах закупаемой продукции» осуществляется в программе «АИС ПОЗ Формирование свода объема закупок»;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- полномочия администратора доходов бюджетов бюджетной системы Российской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Федерации по формированию выписок, уведомлений по уточнению вида и принадлежности платежа осуществляются с использованием программы «СУФД»;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формирование  месячной и квартальной отчетности осуществляется в программном продукте «Web-консолидация», модуль природопользования, программное  обеспечение АС УРМ, ГИС ГМП.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 использованием телекоммуникационных каналов связи, квалифицированной электронной подписи ведется электронный документооборот по следующим направлениям: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подготовка и представление отчетности и другой информации по налогам, иным обязательным платежам, страховым взносам, сведениям персонифицированного учета в межрайонную ИФНС №7, отделение ПФР. Росстат.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для проверки правильности оформления, применение расценок для строительно-монтажных работ существует «Грант Смета» (данной программой пользуется начальник управления Давыдова Ж.А.).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передача электронных списков на выпуск зарплатных банковских карт,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электронных реестров на зачисление на зарплатные карты сотрудников производится через систему Сбербанк Бизнес Онлайн.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В состав основных фондов входит оргтехника. Все работники организации  обеспечены компьютерами. Все основные средства закреплены за работниками. В течение года структурные подразделения были своевременно  и в полном объеме обеспечены материальными запасами для эффективной работы.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Поступление материальных запасов происходит своевременно по мере их расходования.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С целью представления достоверной информации о финансовом, имущественном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положении и финансовых результатах деятельности Управления жилищно-коммунального хозяйства, капитального строительства и природопользования Администрации Гаврилов - Ямского муниципального района руководствуется 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своей работе учетной политикой Управления жилищно-коммунального хозяйства, капитального строительства и природопользования Администрации Гаврилов – Ямского  муниципального района, утвержденной приказом Управления жилищно-коммунального хозяйства, капитального строительства и природопользования Администрации Гаврилов-Ямского муниципального района от 29.12.2018г№40 «Об утверждении учетной политики», приказом Минфина РФ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 федеральным законом № 402-ФЗ «О бухгалтерском учете», приказом  Минфина РФ от 06.12.2010 г. № 162н "Об утверждении Плана счетов  бюджетного учета и Инструкции по его применению" (с изменениями и дополнениями), федеральными стандартами бухгалтерского учета для организаций государственного сектора.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положения учетной политики Управления жилищно-коммунального хозяйства, капитального строительства и природопользования Администрации Гаврилов - Ямского муниципального района в соответствии с принятыми федеральными  стандартами.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 Учет основных средств: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установленном п.35 Стандарта «Основные средства»), п.44 Инструкции №157н, комиссией по поступлению и выбытию активов;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амортизация по всем основным средствам начисляется линейным методом в  последний рабочий день месяца;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каждому инвентарному объекту основных средств присваивается инвентарный номер.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2. Нематериальные активы: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составе нематериальных активов учитываются объекты, соответствующие критериям признания в качестве нематериальных активов.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сроком полезного использования нематериального актива является период, в течение которого предполагается использование актива;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амортизация по всем нематериальным активам начисляется линейным методом. </w:t>
                  </w:r>
                </w:p>
              </w:tc>
            </w:tr>
          </w:tbl>
          <w:p w:rsidR="001702B5" w:rsidRDefault="00BE50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1702B5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"Анализ отчета об исполнении бюджета субъектом бюджетной отчетности"</w:t>
            </w:r>
          </w:p>
          <w:p w:rsidR="001702B5" w:rsidRDefault="00BE50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1702B5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1702B5" w:rsidRDefault="00BE509F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Согласно решения Собрания представителей №197 от 15.12. «О бюджете Гаврилов - Ямского муниципального района на 2023 год и на плановый период 2024-2025 годов» доходная часть бюджета утверждена в сумме 120 421 697 ,89 руб., выполнение составило на сумму 120 345 605,43 рублей или 99,9%.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Расходная часть утверждена в сумме 175 523 017,12 руб., выполнено в сумме 160 858 764,71. или 94,5 %.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 2023 год поступили следующие субсидии: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 Субсидия бюджетам муниципальных районов на строительство, модернизацию, ремонт и содержание автомобильных дорог общего пользования, при плане 6 928 662 руб., выполнено – 6 928 423 или 100%.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2.Прочие межбюджетные трансферты, передаваемые бюджетам муниципальных районов (Межбюджетные трансферты на оказание господдержки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коммунальных услуг – 259 000 руб., выполнено – 259 000 или 100%.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3. Субсидии бюджетам муниципальных районов на выполнение передаваемых полномочий субъектам Российской Федерации (Субвенция на освобождение от оплаты стоимости проезда детей из многодетных семей) – 2 517 696 руб., выполнено – 2 255 449,50 или 89,6% 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нужд для нужд муниципальных районов   выполнено 117944,04 руб.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5. Субсидии бюджетам муниципальных районов на софинансирование капитальных вложений в объекты государственной (муниципальной) собственности в рамках нового строительства и реконструкции по плану 5 000 000 руб. поступили 5 000 000 руб. или 100%.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6.Межбюджетные трансферты, передаваемые бюджетам муниципальных районов из бюджетов поселений на осуществление части полномочий на осуществление части полномочий по решению вопросов местного значения в соответствии с заключенными соглашениями по плану 105 715 339,89 руб. выполнено 105 716 339,89 руб. или 100%.</w:t>
                  </w:r>
                </w:p>
              </w:tc>
            </w:tr>
          </w:tbl>
          <w:p w:rsidR="001702B5" w:rsidRDefault="00BE50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1702B5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1702B5" w:rsidRDefault="00BE50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1702B5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1702B5" w:rsidRDefault="00BE509F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- сведения по дебиторской и кредиторской задолженности ф. 0503169 </w:t>
                  </w:r>
                </w:p>
                <w:p w:rsidR="001702B5" w:rsidRDefault="001702B5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43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3"/>
                    <w:gridCol w:w="3345"/>
                    <w:gridCol w:w="3179"/>
                  </w:tblGrid>
                  <w:tr w:rsidR="001702B5">
                    <w:tc>
                      <w:tcPr>
                        <w:tcW w:w="39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Номер счета бюджетного учета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 01.01.2023 года</w:t>
                        </w:r>
                      </w:p>
                    </w:tc>
                    <w:tc>
                      <w:tcPr>
                        <w:tcW w:w="31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 01.01.2024 года</w:t>
                        </w:r>
                      </w:p>
                    </w:tc>
                  </w:tr>
                  <w:tr w:rsidR="001702B5">
                    <w:tc>
                      <w:tcPr>
                        <w:tcW w:w="39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85805055000011020242 1 20621004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237,71</w:t>
                        </w:r>
                      </w:p>
                    </w:tc>
                    <w:tc>
                      <w:tcPr>
                        <w:tcW w:w="31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1 994,07</w:t>
                        </w:r>
                      </w:p>
                    </w:tc>
                  </w:tr>
                  <w:tr w:rsidR="001702B5">
                    <w:tc>
                      <w:tcPr>
                        <w:tcW w:w="39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85820230024053004150 1 20551001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6 248 298</w:t>
                        </w:r>
                      </w:p>
                    </w:tc>
                    <w:tc>
                      <w:tcPr>
                        <w:tcW w:w="31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jc w:val="both"/>
                        </w:pPr>
                      </w:p>
                      <w:p w:rsidR="001702B5" w:rsidRDefault="001702B5">
                        <w:pPr>
                          <w:jc w:val="both"/>
                        </w:pPr>
                      </w:p>
                    </w:tc>
                  </w:tr>
                  <w:tr w:rsidR="001702B5">
                    <w:tc>
                      <w:tcPr>
                        <w:tcW w:w="39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85804092410110040244 1 20626002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1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27 119,50</w:t>
                        </w:r>
                      </w:p>
                    </w:tc>
                  </w:tr>
                  <w:tr w:rsidR="001702B5">
                    <w:tc>
                      <w:tcPr>
                        <w:tcW w:w="39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85805055000011020121</w:t>
                        </w:r>
                      </w:p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130314001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1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              2 356</w:t>
                        </w:r>
                      </w:p>
                    </w:tc>
                  </w:tr>
                  <w:tr w:rsidR="001702B5">
                    <w:tc>
                      <w:tcPr>
                        <w:tcW w:w="39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85805021410110060244 1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20626000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40 000</w:t>
                        </w:r>
                      </w:p>
                    </w:tc>
                    <w:tc>
                      <w:tcPr>
                        <w:tcW w:w="31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1702B5">
                    <w:tc>
                      <w:tcPr>
                        <w:tcW w:w="39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85820220041050000150 1 20551001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13 857 324</w:t>
                        </w:r>
                      </w:p>
                    </w:tc>
                    <w:tc>
                      <w:tcPr>
                        <w:tcW w:w="31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1702B5">
                    <w:tc>
                      <w:tcPr>
                        <w:tcW w:w="39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ИТОГО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20 145 859,71</w:t>
                        </w:r>
                      </w:p>
                    </w:tc>
                    <w:tc>
                      <w:tcPr>
                        <w:tcW w:w="31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31 469,57</w:t>
                        </w:r>
                      </w:p>
                    </w:tc>
                  </w:tr>
                </w:tbl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01.01.2023г. года по Управлению ЖКХ Администрации Гаврилов-Ямского МР дебиторской задолженности 20 145 850,71 руб., а по состоянию на 01.01.2024 г. дебиторская задолженность – 31 469,57 руб.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01.01.2024г. числится дебиторская задолженность за услуги связи в сумме 1 994,07 руб., аванс за выполнение работ за экспертизу смет 27 119,50 руб. </w:t>
                  </w:r>
                </w:p>
                <w:p w:rsidR="001702B5" w:rsidRDefault="001702B5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538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28"/>
                    <w:gridCol w:w="3253"/>
                    <w:gridCol w:w="3457"/>
                  </w:tblGrid>
                  <w:tr w:rsidR="001702B5">
                    <w:tc>
                      <w:tcPr>
                        <w:tcW w:w="38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Номер счета бюджетного учета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 01.01.2023 года</w:t>
                        </w:r>
                      </w:p>
                    </w:tc>
                    <w:tc>
                      <w:tcPr>
                        <w:tcW w:w="34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 01.01.2024 года</w:t>
                        </w:r>
                      </w:p>
                    </w:tc>
                  </w:tr>
                  <w:tr w:rsidR="001702B5">
                    <w:tc>
                      <w:tcPr>
                        <w:tcW w:w="38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8582196010050000150</w:t>
                        </w:r>
                      </w:p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1 303 05 001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4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7 782 900,31</w:t>
                        </w:r>
                      </w:p>
                    </w:tc>
                  </w:tr>
                  <w:tr w:rsidR="001702B5">
                    <w:tc>
                      <w:tcPr>
                        <w:tcW w:w="38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85810032420272560811 </w:t>
                        </w:r>
                      </w:p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1 302 45 000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130 642,50</w:t>
                        </w:r>
                      </w:p>
                    </w:tc>
                    <w:tc>
                      <w:tcPr>
                        <w:tcW w:w="34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5 639</w:t>
                        </w:r>
                      </w:p>
                    </w:tc>
                  </w:tr>
                  <w:tr w:rsidR="001702B5">
                    <w:tc>
                      <w:tcPr>
                        <w:tcW w:w="38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85804092410275620243</w:t>
                        </w:r>
                      </w:p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1 302 25 004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4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7 782 900,31</w:t>
                        </w:r>
                      </w:p>
                    </w:tc>
                  </w:tr>
                  <w:tr w:rsidR="001702B5">
                    <w:tc>
                      <w:tcPr>
                        <w:tcW w:w="38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85820230024053004150</w:t>
                        </w:r>
                      </w:p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1 401 49 151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6 248 298</w:t>
                        </w:r>
                      </w:p>
                    </w:tc>
                    <w:tc>
                      <w:tcPr>
                        <w:tcW w:w="34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1702B5">
                    <w:tc>
                      <w:tcPr>
                        <w:tcW w:w="38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85805055000011020121 </w:t>
                        </w:r>
                      </w:p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1 401 60 211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231 045,72</w:t>
                        </w:r>
                      </w:p>
                    </w:tc>
                    <w:tc>
                      <w:tcPr>
                        <w:tcW w:w="34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1702B5">
                    <w:tc>
                      <w:tcPr>
                        <w:tcW w:w="38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85805055000011020129 </w:t>
                        </w:r>
                      </w:p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1 401 60 213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69 775,81</w:t>
                        </w:r>
                      </w:p>
                    </w:tc>
                    <w:tc>
                      <w:tcPr>
                        <w:tcW w:w="34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69 775,81</w:t>
                        </w:r>
                      </w:p>
                    </w:tc>
                  </w:tr>
                  <w:tr w:rsidR="001702B5">
                    <w:tc>
                      <w:tcPr>
                        <w:tcW w:w="38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8582022041050000150 </w:t>
                        </w:r>
                      </w:p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1 401 49 151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34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1702B5">
                    <w:tc>
                      <w:tcPr>
                        <w:tcW w:w="38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ИТОГО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20 537 086,03</w:t>
                        </w:r>
                      </w:p>
                    </w:tc>
                    <w:tc>
                      <w:tcPr>
                        <w:tcW w:w="34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15 571 439,62</w:t>
                        </w:r>
                      </w:p>
                    </w:tc>
                  </w:tr>
                </w:tbl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01.01.2023 года в Управление ЖКХ кредиторская задолженность составила 20 537 086,03 руб., а по состоянию на 01.01.2024г задолженность –15 571 439.62 руб.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Кредиторская задолженность в сумме 5 639 руб. по субвенции на освобождение от платы стоимости проезда детей из многодетных семей (в части проезда в городском  и пригородном сообщении). 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Кредиторская задолженность в сумме  7 782 900,31 руб. за выполненные работы по ремонту освещения проезда Машиностроителей г.Гаврилов-Ям.</w:t>
                  </w:r>
                </w:p>
                <w:p w:rsidR="001702B5" w:rsidRDefault="00BE50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Разъяснения к форме 0503168 «Сведения движение нефинансовых активов»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В Управление ЖКХ стоимость основных средств по состоянию на  01.01.2024г. составила – 789 523,46 руб., из них 21,9 % - это нежилое помещение, 71,3% - машины и оборудование, 6,8% - производственный и хозяйственный инвентарь.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За 2023 год выполнено капитальных вложений на сумму 21 289 596,03 руб.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В 2023году безвозмездно передано объектов на баланс АГИЗО: колодцы на сумму 339 968,35 руб., газопровод д.Междуречье 4 175 567,50 руб., сети с блочно-модульной газовой котельной д.Шалаево на сумму 7 521 005,63 руб.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Расшифровка по счету 106 (незавершенное строительство):</w:t>
                  </w:r>
                </w:p>
                <w:p w:rsidR="001702B5" w:rsidRDefault="001702B5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1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93"/>
                    <w:gridCol w:w="1849"/>
                    <w:gridCol w:w="1847"/>
                    <w:gridCol w:w="1849"/>
                    <w:gridCol w:w="2273"/>
                  </w:tblGrid>
                  <w:tr w:rsidR="001702B5">
                    <w:tc>
                      <w:tcPr>
                        <w:tcW w:w="24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Наименование инвестиционного объекта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Срок возникновения вложений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Планируемый срок окончания финансовых вложений</w:t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целевой статьи расходов</w:t>
                        </w:r>
                      </w:p>
                    </w:tc>
                  </w:tr>
                  <w:tr w:rsidR="001702B5">
                    <w:tc>
                      <w:tcPr>
                        <w:tcW w:w="24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Плоскостное сооружение (хоккейный корт) г.Гаврилов-Ям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12761322,05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декабрь 2023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январь 2024г</w:t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1702B5">
                    <w:tc>
                      <w:tcPr>
                        <w:tcW w:w="249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Муниципальная программа «Комплексная программа модернизации и реформирования жилищно-коммунального хозяйства Гаврилов-Ямского муниципального района» (строительство газораспределительной сети и газового оборудования)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1 380 000,00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Декабрь 2019г.</w:t>
                        </w:r>
                      </w:p>
                    </w:tc>
                    <w:tc>
                      <w:tcPr>
                        <w:tcW w:w="18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Объекты газификации завершены, оформление технических паспортов будет в 2023г. для передачи объектов в казну </w:t>
                        </w:r>
                      </w:p>
                    </w:tc>
                    <w:tc>
                      <w:tcPr>
                        <w:tcW w:w="227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14.1.01.10060 – Расходы на реализацию мероприятий по строительству и реконструкции объектов теплоснабжения и газификации</w:t>
                        </w:r>
                      </w:p>
                    </w:tc>
                  </w:tr>
                  <w:tr w:rsidR="001702B5">
                    <w:tc>
                      <w:tcPr>
                        <w:tcW w:w="249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27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</w:pPr>
                      </w:p>
                    </w:tc>
                  </w:tr>
                  <w:tr w:rsidR="001702B5">
                    <w:tc>
                      <w:tcPr>
                        <w:tcW w:w="249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1 129 917,61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Декабрь 2019г.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Окончание строительства ожидается  в 2023г.</w:t>
                        </w:r>
                      </w:p>
                    </w:tc>
                    <w:tc>
                      <w:tcPr>
                        <w:tcW w:w="227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</w:pPr>
                      </w:p>
                    </w:tc>
                  </w:tr>
                  <w:tr w:rsidR="001702B5">
                    <w:tc>
                      <w:tcPr>
                        <w:tcW w:w="24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BE509F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15 271 239,66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2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1702B5" w:rsidRDefault="001702B5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1702B5" w:rsidRDefault="00BE509F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Разъяснения к форме 0503175 «Сведения о принятых и неиспользованных обязательствах получателя бюджетных средств»: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01.01.2024 года не использовано бюджетных обязательств на сумму 7 782 900,31руб. Причиной неиспользования бюджетных обязательств –поступление денежных средств 30 декабря 2023года.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Разъяснения по ф.0503173 «Сведения об изменении остатков валюты баланса»: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разделе «Изменения остатков валюты баланса» по коду причины 03 «Исправление ошибок прошлых лет», в том числе:</w:t>
                  </w:r>
                </w:p>
                <w:p w:rsidR="001702B5" w:rsidRDefault="00BE509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- по коду причины 03.3 «Ошибки в применении счетов бухгалтерского учета» по строке 120 отражен перенос остатка  со счета 106.11.000 «Вложения в основные средства – недвижимое имущество» на счет 106.51.000 «Вложение в недвижимое имущество государственной (муниципальной) казны в сумме 0,00 руб.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По коду причины 06 «Иные причины, предусмотренные законодательством Российской Федерации» по строкам 410 в сумме 0,00 руб. отражен перевод кредиторской задолженности со счета 302.45.000 «Расчета по безвозмездным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перечислениям текущего характера иным нефинансовым организациям (за исключением нефинансовых организаций государственного сектора)» на счет 302.63.000 «Расчеты по пенсиям, пособиям, выплачиваемым организациями сектора государственного управления» в связи с изменением методики учета, не повлиявшее на изменение валюты баланса.</w:t>
                  </w:r>
                </w:p>
              </w:tc>
            </w:tr>
          </w:tbl>
          <w:p w:rsidR="001702B5" w:rsidRDefault="00BE50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1702B5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1702B5" w:rsidRDefault="00BE50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1702B5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01.01.2024 года на счете 401.60.000 «Резервы предстоящих расходов» отражены резервы отпусков на 2024 год на сумму 134 269,79 руб. (401.60.211 – 103 125,80 руб., 401.60.213 – 31 143,99 руб.)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    Пояснения к форме 0503190 «Сведения о вложениях в объекты недвижимого имущества, объектах незавершенного строительства»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01.01.2024 г  на счете 106.00 числится сумма 16 132 239,66 руб., из них: 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-объекты газификации – 3 370 917,61 руб.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-плоскостное сооружение (хоккейный корт) по адресу г.Гаврилов-Ям  Юбилейный проезд на сумму 12 761 322,05 руб.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0503190 на отчетную дату отражен статус объекта (код 09), рассматривается вопрос о списании произведенных вложений в связи с тем, что газораспределительные сети по адресу Ярославская область, Гаврилов-Ямский район, д. Ульяново – д. Кадищи построены сторонней организацией.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0503190  указан код целевой функции 12 в связи с тем, что в настоящее время рассматривается вопрос о передаче проектно-сметной документации в АО «Газпром» для дальнейшего строительства объекта Шопша-Шалаево-с.Ильинское-Урусово. Соответствующее письмо было направлено в департамент ЖКХ ЯО.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Разъяснения  к справке о наличии имущества и обязательств на забалансовом счете: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По состоянию на 01.01.2024 года  на забалансовом счете числится имущества на сумму 4 880 702,19 руб.: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договор на аренду помещения, договор на аренду земли на  сумму  4 758 992,26 руб.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основные средства стоимостью (мебель) на сумму 121 709,93 руб.</w:t>
                  </w:r>
                </w:p>
                <w:p w:rsidR="001702B5" w:rsidRDefault="00BE509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Согласно положения об Управлении жилищно-коммунального хозяйства, капитального строительства и природопользования Администрации Гаврилов-Ямского муниципального района в учреждении ведется только бюджетная деятельность.</w:t>
                  </w:r>
                </w:p>
              </w:tc>
            </w:tr>
          </w:tbl>
          <w:p w:rsidR="001702B5" w:rsidRDefault="00BE50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702B5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</w:tbl>
    <w:p w:rsidR="001702B5" w:rsidRDefault="001702B5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1702B5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1702B5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r>
                    <w:rPr>
                      <w:color w:val="000000"/>
                      <w:sz w:val="28"/>
                      <w:szCs w:val="28"/>
                    </w:rPr>
                    <w:t>Начальник управления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1702B5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Давыдова Жанна Александровна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1702B5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02B5" w:rsidRDefault="00BE509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1702B5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02B5" w:rsidRDefault="001702B5">
                  <w:pPr>
                    <w:spacing w:line="1" w:lineRule="auto"/>
                  </w:pPr>
                </w:p>
              </w:tc>
            </w:tr>
            <w:tr w:rsidR="001702B5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1702B5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r>
                          <w:rPr>
                            <w:color w:val="000000"/>
                          </w:rPr>
                          <w:lastRenderedPageBreak/>
                          <w:t>Сертификат: 474A68EB38D89541C75CFAE57E6E1E52</w:t>
                        </w:r>
                      </w:p>
                      <w:p w:rsidR="001702B5" w:rsidRDefault="00BE509F">
                        <w:r>
                          <w:rPr>
                            <w:color w:val="000000"/>
                          </w:rPr>
                          <w:t>Владелец: Давыдова Жанна Александровна</w:t>
                        </w:r>
                      </w:p>
                      <w:p w:rsidR="001702B5" w:rsidRDefault="00BE509F">
                        <w:r>
                          <w:rPr>
                            <w:color w:val="000000"/>
                          </w:rPr>
                          <w:t>Действителен с 01.02.2023 по 26.04.2024</w:t>
                        </w:r>
                      </w:p>
                    </w:tc>
                  </w:tr>
                </w:tbl>
                <w:p w:rsidR="001702B5" w:rsidRDefault="001702B5">
                  <w:pPr>
                    <w:spacing w:line="1" w:lineRule="auto"/>
                  </w:pPr>
                </w:p>
              </w:tc>
            </w:tr>
            <w:tr w:rsidR="001702B5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1702B5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1702B5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Бобочина Виктория Александровна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1702B5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02B5" w:rsidRDefault="00BE509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1702B5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02B5" w:rsidRDefault="001702B5">
                  <w:pPr>
                    <w:spacing w:line="1" w:lineRule="auto"/>
                  </w:pPr>
                </w:p>
              </w:tc>
            </w:tr>
            <w:tr w:rsidR="001702B5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1702B5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r>
                          <w:rPr>
                            <w:color w:val="000000"/>
                          </w:rPr>
                          <w:t>Сертификат: 55CB53A9AEB2529D0AA4EAF27965678D</w:t>
                        </w:r>
                      </w:p>
                      <w:p w:rsidR="001702B5" w:rsidRDefault="00BE509F">
                        <w:r>
                          <w:rPr>
                            <w:color w:val="000000"/>
                          </w:rPr>
                          <w:t>Владелец: Бобочина Виктория Александровна</w:t>
                        </w:r>
                      </w:p>
                      <w:p w:rsidR="001702B5" w:rsidRDefault="00BE509F">
                        <w:r>
                          <w:rPr>
                            <w:color w:val="000000"/>
                          </w:rPr>
                          <w:t>Действителен с 08.02.2023 по 03.05.2024</w:t>
                        </w:r>
                      </w:p>
                    </w:tc>
                  </w:tr>
                </w:tbl>
                <w:p w:rsidR="001702B5" w:rsidRDefault="001702B5">
                  <w:pPr>
                    <w:spacing w:line="1" w:lineRule="auto"/>
                  </w:pPr>
                </w:p>
              </w:tc>
            </w:tr>
            <w:tr w:rsidR="001702B5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1702B5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1702B5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Бобочина Виктория Александровна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1702B5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02B5" w:rsidRDefault="00BE509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1702B5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02B5" w:rsidRDefault="001702B5">
                  <w:pPr>
                    <w:spacing w:line="1" w:lineRule="auto"/>
                  </w:pPr>
                </w:p>
              </w:tc>
            </w:tr>
            <w:tr w:rsidR="001702B5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1702B5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r>
                          <w:rPr>
                            <w:color w:val="000000"/>
                          </w:rPr>
                          <w:t>Сертификат: 55CB53A9AEB2529D0AA4EAF27965678D</w:t>
                        </w:r>
                      </w:p>
                      <w:p w:rsidR="001702B5" w:rsidRDefault="00BE509F">
                        <w:r>
                          <w:rPr>
                            <w:color w:val="000000"/>
                          </w:rPr>
                          <w:t>Владелец: Бобочина Виктория Александровна</w:t>
                        </w:r>
                      </w:p>
                      <w:p w:rsidR="001702B5" w:rsidRDefault="00BE509F">
                        <w:r>
                          <w:rPr>
                            <w:color w:val="000000"/>
                          </w:rPr>
                          <w:t>Действителен с 08.02.2023 по 03.05.2024</w:t>
                        </w:r>
                      </w:p>
                    </w:tc>
                  </w:tr>
                </w:tbl>
                <w:p w:rsidR="001702B5" w:rsidRDefault="001702B5">
                  <w:pPr>
                    <w:spacing w:line="1" w:lineRule="auto"/>
                  </w:pPr>
                </w:p>
              </w:tc>
            </w:tr>
            <w:tr w:rsidR="001702B5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1702B5">
                  <w:pPr>
                    <w:spacing w:line="1" w:lineRule="auto"/>
                  </w:pP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1702B5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r>
                    <w:rPr>
                      <w:color w:val="000000"/>
                      <w:sz w:val="28"/>
                      <w:szCs w:val="28"/>
                    </w:rPr>
                    <w:t>18 января 2024 г.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</w:tbl>
    <w:p w:rsidR="001702B5" w:rsidRDefault="001702B5">
      <w:pPr>
        <w:sectPr w:rsidR="001702B5">
          <w:headerReference w:type="default" r:id="rId7"/>
          <w:footerReference w:type="default" r:id="rId8"/>
          <w:pgSz w:w="11905" w:h="16837"/>
          <w:pgMar w:top="1133" w:right="566" w:bottom="1133" w:left="1133" w:header="1133" w:footer="1133" w:gutter="0"/>
          <w:cols w:space="720"/>
        </w:sectPr>
      </w:pPr>
    </w:p>
    <w:p w:rsidR="001702B5" w:rsidRDefault="001702B5">
      <w:pPr>
        <w:rPr>
          <w:vanish/>
        </w:rPr>
      </w:pPr>
      <w:bookmarkStart w:id="4" w:name="__bookmark_7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31"/>
        <w:gridCol w:w="831"/>
        <w:gridCol w:w="831"/>
        <w:gridCol w:w="831"/>
        <w:gridCol w:w="56"/>
        <w:gridCol w:w="831"/>
        <w:gridCol w:w="831"/>
        <w:gridCol w:w="831"/>
        <w:gridCol w:w="56"/>
        <w:gridCol w:w="56"/>
        <w:gridCol w:w="831"/>
        <w:gridCol w:w="831"/>
        <w:gridCol w:w="831"/>
        <w:gridCol w:w="66"/>
      </w:tblGrid>
      <w:tr w:rsidR="001702B5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c>
          <w:tcPr>
            <w:tcW w:w="101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переданы централизованной бухгалтерии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 и обязательства загранучреждения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пересчета стоимости объектов бухгалтерского учета загранучреждения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факты хозяйственной жизни загранучреждения отражаются в бухгалтерском учете одновременно в иностранной валюте и в рублевом эквиваленте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 и обязательства загранучреждения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пересчета стоимости объектов бухгалтерского учета загранучреждения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факты хозяйственной жизни загранучреждения отражаются в бухгалтерском учете в иностранной валюте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стоимости приобретения бланков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бланк, один рубль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объект, один рубль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срока </w:t>
            </w:r>
            <w:r>
              <w:rPr>
                <w:color w:val="000000"/>
                <w:sz w:val="28"/>
                <w:szCs w:val="28"/>
              </w:rPr>
              <w:lastRenderedPageBreak/>
              <w:t>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Исходя из </w:t>
            </w:r>
            <w:r>
              <w:rPr>
                <w:color w:val="000000"/>
                <w:sz w:val="28"/>
                <w:szCs w:val="28"/>
              </w:rPr>
              <w:lastRenderedPageBreak/>
              <w:t>ожидаемого срока получения экономических выгод и (или) полезного потенциала, заключенных в активе, признаваемом объектом основных средств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Методы учета суммы амортизации при переоценке </w:t>
            </w:r>
            <w:r>
              <w:rPr>
                <w:color w:val="000000"/>
                <w:sz w:val="28"/>
                <w:szCs w:val="28"/>
              </w:rPr>
              <w:lastRenderedPageBreak/>
              <w:t>объекта основных средств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Накопленная амортизация вычитается из </w:t>
            </w:r>
            <w:r>
              <w:rPr>
                <w:color w:val="000000"/>
                <w:sz w:val="28"/>
                <w:szCs w:val="28"/>
              </w:rPr>
              <w:lastRenderedPageBreak/>
              <w:t>балансовой стоимости объекта основных средств, после чего остаточная стоимость пересчитывается до переоцененной стоимости актива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объему продукции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уменьшаемого остатка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стоимости каждой единицы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объему выручки от реализации продукции (работ, услуг)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иному показателю, характеризующему результаты деятельности учреждения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прямым затратам по материальным затратам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прямым затратам по иным прямым затратам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</w:t>
            </w:r>
            <w:r>
              <w:rPr>
                <w:color w:val="000000"/>
                <w:sz w:val="28"/>
                <w:szCs w:val="28"/>
              </w:rPr>
              <w:lastRenderedPageBreak/>
              <w:t>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1702B5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2B5" w:rsidRDefault="00BE509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1 10900000</w:t>
                  </w: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color w:val="000000"/>
                <w:sz w:val="28"/>
                <w:szCs w:val="28"/>
              </w:rPr>
              <w:lastRenderedPageBreak/>
              <w:t>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Пропорционально </w:t>
            </w:r>
            <w:r>
              <w:rPr>
                <w:color w:val="000000"/>
                <w:sz w:val="28"/>
                <w:szCs w:val="28"/>
              </w:rPr>
              <w:lastRenderedPageBreak/>
              <w:t>прямым затратам по оплате труда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</w:tbl>
    <w:p w:rsidR="001702B5" w:rsidRDefault="001702B5">
      <w:pPr>
        <w:sectPr w:rsidR="001702B5">
          <w:headerReference w:type="default" r:id="rId9"/>
          <w:footerReference w:type="default" r:id="rId10"/>
          <w:pgSz w:w="11905" w:h="16837"/>
          <w:pgMar w:top="1133" w:right="566" w:bottom="1133" w:left="1133" w:header="1133" w:footer="1133" w:gutter="0"/>
          <w:cols w:space="720"/>
        </w:sectPr>
      </w:pPr>
    </w:p>
    <w:p w:rsidR="001702B5" w:rsidRDefault="001702B5">
      <w:pPr>
        <w:rPr>
          <w:vanish/>
        </w:rPr>
      </w:pPr>
      <w:bookmarkStart w:id="5" w:name="__bookmark_9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1702B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№11</w:t>
            </w:r>
          </w:p>
        </w:tc>
      </w:tr>
      <w:tr w:rsidR="001702B5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субъекта бюджетной отчетности</w:t>
            </w:r>
          </w:p>
        </w:tc>
      </w:tr>
      <w:tr w:rsidR="001702B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в пределах места нахождения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152240 Ярославская область,г.Гаврилов-Ям ул.Советская д.51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Организационно-правовая форма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7 54 04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ОКОПФ ОК 028-2012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Муниципальное казенное учреждение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наименования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основных нормативных правовых актов, регламентирующих деятельность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органа, осуществляющего внешний государственный (муниципальный) финансовый контроль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Контрольно-счетная комиссия Гаврилов-Ямского муниципального района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деятельности субъекта отчетности, созданного на определенный срок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 место публикации отчета, содержащего информацию о результатах исполнения бюджетной сметы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Приказ Министерства финансов Российской Федерации от 30.12.2017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Сайт www.gavyam.ru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государственных (муниципальных) унитарных и казенных предприятий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количества государственных (муниципальных) унитарных и казенных предприятий, произошедшие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бюджетных полномочий, произошедшее в отчетном периоде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полномочий по ведению бюджетного учета иному учреждению (централизованной бухгалтерии)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правопреемственности по всем обязательствам реорганизуемого (преобразуемого) субъекта отчетности в отношении всех кредиторов и должников, включая обязательства, оспариваемые в суде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 Общероссийский классификатор организационно-правовых форм ОК 028-2012</w:t>
            </w:r>
          </w:p>
        </w:tc>
      </w:tr>
    </w:tbl>
    <w:p w:rsidR="001702B5" w:rsidRDefault="001702B5">
      <w:pPr>
        <w:sectPr w:rsidR="001702B5">
          <w:headerReference w:type="default" r:id="rId11"/>
          <w:footerReference w:type="default" r:id="rId12"/>
          <w:pgSz w:w="11905" w:h="16837"/>
          <w:pgMar w:top="1133" w:right="566" w:bottom="1133" w:left="1133" w:header="1133" w:footer="1133" w:gutter="0"/>
          <w:cols w:space="720"/>
        </w:sectPr>
      </w:pPr>
    </w:p>
    <w:p w:rsidR="001702B5" w:rsidRDefault="001702B5">
      <w:pPr>
        <w:rPr>
          <w:vanish/>
        </w:rPr>
      </w:pPr>
      <w:bookmarkStart w:id="6" w:name="__bookmark_10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2097"/>
        <w:gridCol w:w="979"/>
      </w:tblGrid>
      <w:tr w:rsidR="001702B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№12</w:t>
            </w:r>
          </w:p>
        </w:tc>
      </w:tr>
      <w:tr w:rsidR="001702B5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субъекта бюджетной отчетности</w:t>
            </w:r>
          </w:p>
        </w:tc>
      </w:tr>
      <w:tr w:rsidR="001702B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временно неэксплуатируемых (неиспользуемых) объектов основных средств,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стоимость объектов основных средств, находящихся в эксплуатации и имеющих нулевую остаточную стоимость,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616,6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объектов основных средств, изъятых из эксплуатации или удерживаемых до их выбытия,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техническое состояние, эффективность использования, обеспеченность учреждения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рабочие места оснащены техническими средствами, отвечающими требованиям безопасности. Иные основные средства находятся в удовлетворительном состоянии.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основные мероприятия по улучшению состояния и сохранности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характеристика комплектности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полностью соответствуют своим техническим характеристикам</w:t>
            </w: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</w:tbl>
    <w:p w:rsidR="001702B5" w:rsidRDefault="001702B5">
      <w:pPr>
        <w:sectPr w:rsidR="001702B5">
          <w:headerReference w:type="default" r:id="rId13"/>
          <w:footerReference w:type="default" r:id="rId14"/>
          <w:pgSz w:w="11905" w:h="16837"/>
          <w:pgMar w:top="1133" w:right="566" w:bottom="1133" w:left="1133" w:header="1133" w:footer="1133" w:gutter="0"/>
          <w:cols w:space="720"/>
        </w:sectPr>
      </w:pPr>
    </w:p>
    <w:p w:rsidR="001702B5" w:rsidRDefault="001702B5">
      <w:pPr>
        <w:rPr>
          <w:vanish/>
        </w:rPr>
      </w:pPr>
      <w:bookmarkStart w:id="7" w:name="__bookmark_11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1702B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№13</w:t>
            </w:r>
          </w:p>
        </w:tc>
      </w:tr>
      <w:tr w:rsidR="001702B5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бюджета субъектом бюджетной отчетности</w:t>
            </w:r>
          </w:p>
        </w:tc>
      </w:tr>
      <w:tr w:rsidR="001702B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1702B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702B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об исполнении бюджета (ф.0503127): причины отклонения суммы неисполненных назначений, отраженных в графе 9 по соответствующим строкам раздела 1 "Доходы", от разницы показателей граф 4 и 8 по строке 010 "Доходы бюджета - всего"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отчете об исполнении бюджета (ф.0503127) отклонение составляет 76 092,46 руб. – сложность планирования поступлений</w:t>
            </w:r>
          </w:p>
        </w:tc>
      </w:tr>
      <w:tr w:rsidR="001702B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бюджета (ф.0503164): код "99 - иные причины" по графе 8 раздела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сведениях об исполнении бюджета (ф. 0503164) по коду "99 - иные причины" отражены неисполненные расходы по КБК 0409 2410275620 243 225  в сумме 7 782 900,31 руб. поступление денежных средств для оплаты 30.12.2023 года.</w:t>
            </w:r>
          </w:p>
        </w:tc>
      </w:tr>
      <w:tr w:rsidR="001702B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бюджета (ф.0503164): по графе 8 раздела 2 несколько причин отклонения одновременно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Отклонения отсутствуют</w:t>
            </w:r>
          </w:p>
        </w:tc>
      </w:tr>
      <w:tr w:rsidR="001702B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исполнения текстовых статей закона (решения) о бюджете, касающихся приоритетных национальных проектов и имеющих отношение к деятельности субъекта бюджетной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принятии денежных обязательств сверх утвержденного субъекту отчетности на финансовый год объема бюджетных ассигнований и (или) лимитов бюджетных обязательств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обобщенным данным об операциях по управлению остатками средств на едином счете соответствующего бюджета за отчетный период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</w:tbl>
    <w:p w:rsidR="001702B5" w:rsidRDefault="001702B5">
      <w:pPr>
        <w:sectPr w:rsidR="001702B5">
          <w:headerReference w:type="default" r:id="rId15"/>
          <w:footerReference w:type="default" r:id="rId16"/>
          <w:pgSz w:w="11905" w:h="16837"/>
          <w:pgMar w:top="1133" w:right="566" w:bottom="1133" w:left="1133" w:header="1133" w:footer="1133" w:gutter="0"/>
          <w:cols w:space="720"/>
        </w:sectPr>
      </w:pPr>
    </w:p>
    <w:p w:rsidR="001702B5" w:rsidRDefault="001702B5">
      <w:pPr>
        <w:rPr>
          <w:vanish/>
        </w:rPr>
      </w:pPr>
      <w:bookmarkStart w:id="8" w:name="__bookmark_12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100"/>
      </w:tblGrid>
      <w:tr w:rsidR="001702B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№14</w:t>
            </w:r>
          </w:p>
        </w:tc>
      </w:tr>
      <w:tr w:rsidR="001702B5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субъекта бюджетной отчетности</w:t>
            </w:r>
          </w:p>
        </w:tc>
      </w:tr>
      <w:tr w:rsidR="001702B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графе 7 разделов 1 и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отсутствуют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графах 5 - 8 раздела 1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отсутствуют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"05 - иные причины возникновения просроченной кредиторской задолженности" раздела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 состоянию на 01.01.2024 в сравнении с аналогичным периодом прошлого года  сумма просроченной кредиторской задолженности по счету увеличилась на 7782900,31 руб. Изменения связаны с несвоевременной оплатой за выполненные работы по контракту,т.к.доходы поступили только 30.12.2023г. Просроченная задолженность будет погашена в феврале 2024 года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Несколько причин возникновения просроченной дебиторской (кредиторской) задолженности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9 - "06 -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4 графа 7 - "03.5 -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7 - "99 -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"75 -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(пояснения) о некассовых операциях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702B5">
        <w:trPr>
          <w:trHeight w:val="1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</w:tbl>
    <w:p w:rsidR="001702B5" w:rsidRDefault="001702B5">
      <w:pPr>
        <w:sectPr w:rsidR="001702B5">
          <w:headerReference w:type="default" r:id="rId17"/>
          <w:footerReference w:type="default" r:id="rId18"/>
          <w:pgSz w:w="11905" w:h="16837"/>
          <w:pgMar w:top="1133" w:right="566" w:bottom="1133" w:left="1133" w:header="1133" w:footer="1133" w:gutter="0"/>
          <w:cols w:space="720"/>
        </w:sectPr>
      </w:pPr>
    </w:p>
    <w:p w:rsidR="001702B5" w:rsidRDefault="001702B5">
      <w:pPr>
        <w:rPr>
          <w:vanish/>
        </w:rPr>
      </w:pPr>
      <w:bookmarkStart w:id="9" w:name="__bookmark_13"/>
      <w:bookmarkEnd w:id="9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10"/>
      </w:tblGrid>
      <w:tr w:rsidR="001702B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272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№15</w:t>
            </w:r>
          </w:p>
        </w:tc>
      </w:tr>
      <w:tr w:rsidR="001702B5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Причины увеличения просроченной задолженности</w:t>
            </w:r>
          </w:p>
        </w:tc>
      </w:tr>
      <w:tr w:rsidR="001702B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(код) счета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bookmarkStart w:id="10" w:name="_Toc0503169"/>
      <w:bookmarkEnd w:id="10"/>
      <w:tr w:rsidR="001702B5"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B5" w:rsidRDefault="00942660">
            <w:pPr>
              <w:rPr>
                <w:vanish/>
              </w:rPr>
            </w:pPr>
            <w:r>
              <w:fldChar w:fldCharType="begin"/>
            </w:r>
            <w:r w:rsidR="00BE509F">
              <w:instrText xml:space="preserve"> TC "0503169" \f C \l "1"</w:instrText>
            </w:r>
            <w:r>
              <w:fldChar w:fldCharType="end"/>
            </w:r>
          </w:p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9073" w:type="dxa"/>
            <w:gridSpan w:val="10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073" w:type="dxa"/>
              <w:tblLayout w:type="fixed"/>
              <w:tblLook w:val="01E0" w:firstRow="1" w:lastRow="1" w:firstColumn="1" w:lastColumn="1" w:noHBand="0" w:noVBand="0"/>
            </w:tblPr>
            <w:tblGrid>
              <w:gridCol w:w="2721"/>
              <w:gridCol w:w="6352"/>
            </w:tblGrid>
            <w:tr w:rsidR="001702B5">
              <w:trPr>
                <w:trHeight w:val="322"/>
              </w:trPr>
              <w:tc>
                <w:tcPr>
                  <w:tcW w:w="2721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bookmarkStart w:id="11" w:name="__bookmark_14"/>
                <w:bookmarkStart w:id="12" w:name="_TocПричины_увеличения_просроченной_деби"/>
                <w:bookmarkEnd w:id="11"/>
                <w:bookmarkEnd w:id="12"/>
                <w:p w:rsidR="001702B5" w:rsidRDefault="00942660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BE509F">
                    <w:instrText xml:space="preserve"> TC "Причины увеличения просроченной дебиторской задолженности по сравнению с показателями за аналогичный период прошлого отчетного года" \f C \l "2"</w:instrText>
                  </w:r>
                  <w:r>
                    <w:fldChar w:fldCharType="end"/>
                  </w:r>
                </w:p>
                <w:p w:rsidR="001702B5" w:rsidRDefault="00BE50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Причины увеличения просроченной дебиторской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6352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35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2721"/>
                    <w:gridCol w:w="1814"/>
                    <w:gridCol w:w="910"/>
                  </w:tblGrid>
                  <w:tr w:rsidR="001702B5"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07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07"/>
                        </w:tblGrid>
                        <w:tr w:rsidR="001702B5">
                          <w:trPr>
                            <w:jc w:val="center"/>
                          </w:trPr>
                          <w:tc>
                            <w:tcPr>
                              <w:tcW w:w="90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02B5" w:rsidRDefault="00BE509F">
                              <w:pPr>
                                <w:jc w:val="center"/>
                              </w:pPr>
                              <w:bookmarkStart w:id="13" w:name="__bookmark_15"/>
                              <w:bookmarkEnd w:id="13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 w:rsidR="001702B5" w:rsidRDefault="001702B5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721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1702B5">
                    <w:tc>
                      <w:tcPr>
                        <w:tcW w:w="3628" w:type="dxa"/>
                        <w:gridSpan w:val="2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c>
                  </w:tr>
                </w:tbl>
                <w:p w:rsidR="001702B5" w:rsidRDefault="001702B5">
                  <w:pPr>
                    <w:spacing w:line="1" w:lineRule="auto"/>
                  </w:pPr>
                </w:p>
              </w:tc>
            </w:tr>
            <w:bookmarkStart w:id="14" w:name="_TocПричины_увеличения_просроченной_кред"/>
            <w:bookmarkEnd w:id="14"/>
            <w:tr w:rsidR="001702B5">
              <w:trPr>
                <w:trHeight w:val="322"/>
              </w:trPr>
              <w:tc>
                <w:tcPr>
                  <w:tcW w:w="2721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02B5" w:rsidRDefault="00942660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BE509F">
                    <w:instrText xml:space="preserve"> TC "Причины увеличения просроченной кредиторской задолженности по сравнению с показателями за аналогичный период прошлого отчетного года" \f C \l "2"</w:instrText>
                  </w:r>
                  <w:r>
                    <w:fldChar w:fldCharType="end"/>
                  </w:r>
                </w:p>
                <w:p w:rsidR="001702B5" w:rsidRDefault="00BE50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Причины увеличения просроченной кредиторской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6352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35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2721"/>
                    <w:gridCol w:w="1814"/>
                    <w:gridCol w:w="910"/>
                  </w:tblGrid>
                  <w:tr w:rsidR="001702B5"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07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07"/>
                        </w:tblGrid>
                        <w:tr w:rsidR="001702B5">
                          <w:trPr>
                            <w:jc w:val="center"/>
                          </w:trPr>
                          <w:tc>
                            <w:tcPr>
                              <w:tcW w:w="90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02B5" w:rsidRDefault="00BE509F">
                              <w:pPr>
                                <w:jc w:val="center"/>
                              </w:pPr>
                              <w:bookmarkStart w:id="15" w:name="__bookmark_16"/>
                              <w:bookmarkEnd w:id="15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1702B5" w:rsidRDefault="001702B5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721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04092410275620243 1 30225004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7 782 900,31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состоянию на 01.01.2024 в сравнении с аналогичным периодом прошлого года  сумма просроченной кредиторской задолженности по счету увеличилась на 7782900,31 руб. Изменения связаны с несвоевременной оплатой за выполненные работы по контракту,т.к.доходы поступили только 30.12.2023г. Просроченная задолженность будет погашена в феврале 2024 года</w:t>
                        </w:r>
                      </w:p>
                    </w:tc>
                  </w:tr>
                  <w:tr w:rsidR="001702B5">
                    <w:tc>
                      <w:tcPr>
                        <w:tcW w:w="3628" w:type="dxa"/>
                        <w:gridSpan w:val="2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7 782 900,31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2B5" w:rsidRDefault="00BE509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c>
                  </w:tr>
                </w:tbl>
                <w:p w:rsidR="001702B5" w:rsidRDefault="001702B5">
                  <w:pPr>
                    <w:spacing w:line="1" w:lineRule="auto"/>
                  </w:pPr>
                </w:p>
              </w:tc>
            </w:tr>
          </w:tbl>
          <w:p w:rsidR="001702B5" w:rsidRDefault="001702B5">
            <w:pPr>
              <w:spacing w:line="1" w:lineRule="auto"/>
            </w:pPr>
          </w:p>
        </w:tc>
      </w:tr>
      <w:tr w:rsidR="001702B5"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91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</w:tbl>
    <w:p w:rsidR="001702B5" w:rsidRDefault="001702B5">
      <w:pPr>
        <w:sectPr w:rsidR="001702B5">
          <w:headerReference w:type="default" r:id="rId19"/>
          <w:footerReference w:type="default" r:id="rId20"/>
          <w:pgSz w:w="11905" w:h="16837"/>
          <w:pgMar w:top="1133" w:right="566" w:bottom="1133" w:left="1133" w:header="1133" w:footer="1133" w:gutter="0"/>
          <w:cols w:space="720"/>
        </w:sectPr>
      </w:pPr>
    </w:p>
    <w:p w:rsidR="001702B5" w:rsidRDefault="001702B5">
      <w:pPr>
        <w:rPr>
          <w:vanish/>
        </w:rPr>
      </w:pPr>
      <w:bookmarkStart w:id="16" w:name="__bookmark_17"/>
      <w:bookmarkEnd w:id="1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81"/>
      </w:tblGrid>
      <w:tr w:rsidR="001702B5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383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№16</w:t>
            </w:r>
          </w:p>
        </w:tc>
      </w:tr>
      <w:tr w:rsidR="001702B5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субъекта бюджетной отчетности</w:t>
            </w:r>
          </w:p>
        </w:tc>
      </w:tr>
      <w:tr w:rsidR="001702B5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rPr>
          <w:trHeight w:val="68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1702B5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1702B5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Приказ о проведении инвентаризации №48 от 01.11.2023г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Излишков и недостач не выявлено.</w:t>
            </w:r>
          </w:p>
        </w:tc>
      </w:tr>
      <w:tr w:rsidR="001702B5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0503296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задолженности по исполнительным документам и о правовом основании ее возникновения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Корреспонденция счетов бюджетного учета, утвержденная субъектом учета (централизованной бухгалтерии)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702B5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бюджетной отчетности за отчетный период ввиду отсутствия числовых значений показателей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Перечень форм бюджетной отчетности, которые не имеют числового значения (нулевые) не представленные в составе бюджетной отчетности: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1.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Форма 0503167 «Сведения о целевых иностранных кредитах»,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2.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Форма 0503171 «Сведения о финансовых вложениях ПБС, АИФ дефицита бюджета»,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3.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Форма 0503172 «Сведения о государственных (муниципальных) заимствованиях»,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4.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Форма 0503162 «Сведения о результатах деятельности»,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5.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Форма 0503166 «Сведения об исполнении мероприятий в рамках целевых программ»,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6.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Форма 0503324 « Отчет об использовании межбюджетных трансфертов из федерального бюджета субъектами РФ, МО и ТГВФ»,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7.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Форма 0503174-Сведения о доходах бюджета от перечисления части прибыли(дивидендов) государственных (муниципальных0 унитарных предприятий, иных организаций с государственным участием капитала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8.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Форма МБТ ФБ- Сведения об использовании межбюджетных трансфертов из федерального бюджета муниципальными образованиями.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9.      Форма 0503296 -Сведения об исполнении судебных решений по денежным обязательствам бюджета.</w:t>
            </w:r>
          </w:p>
        </w:tc>
      </w:tr>
      <w:tr w:rsidR="001702B5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B5" w:rsidRDefault="001702B5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  <w:jc w:val="center"/>
            </w:pPr>
          </w:p>
        </w:tc>
      </w:tr>
      <w:tr w:rsidR="001702B5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BE50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702B5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B5" w:rsidRDefault="001702B5">
            <w:pPr>
              <w:spacing w:line="1" w:lineRule="auto"/>
            </w:pPr>
          </w:p>
        </w:tc>
      </w:tr>
    </w:tbl>
    <w:p w:rsidR="00BE509F" w:rsidRDefault="00BE509F"/>
    <w:sectPr w:rsidR="00BE509F" w:rsidSect="001702B5">
      <w:headerReference w:type="default" r:id="rId21"/>
      <w:footerReference w:type="default" r:id="rId22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C0" w:rsidRDefault="00EC0AC0" w:rsidP="001702B5">
      <w:r>
        <w:separator/>
      </w:r>
    </w:p>
  </w:endnote>
  <w:endnote w:type="continuationSeparator" w:id="0">
    <w:p w:rsidR="00EC0AC0" w:rsidRDefault="00EC0AC0" w:rsidP="0017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702B5">
      <w:trPr>
        <w:trHeight w:val="56"/>
      </w:trPr>
      <w:tc>
        <w:tcPr>
          <w:tcW w:w="10421" w:type="dxa"/>
        </w:tcPr>
        <w:p w:rsidR="001702B5" w:rsidRDefault="001702B5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702B5">
      <w:trPr>
        <w:trHeight w:val="56"/>
      </w:trPr>
      <w:tc>
        <w:tcPr>
          <w:tcW w:w="10421" w:type="dxa"/>
        </w:tcPr>
        <w:p w:rsidR="001702B5" w:rsidRDefault="001702B5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702B5">
      <w:trPr>
        <w:trHeight w:val="56"/>
      </w:trPr>
      <w:tc>
        <w:tcPr>
          <w:tcW w:w="10421" w:type="dxa"/>
        </w:tcPr>
        <w:p w:rsidR="001702B5" w:rsidRDefault="001702B5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702B5">
      <w:trPr>
        <w:trHeight w:val="56"/>
      </w:trPr>
      <w:tc>
        <w:tcPr>
          <w:tcW w:w="10421" w:type="dxa"/>
        </w:tcPr>
        <w:p w:rsidR="001702B5" w:rsidRDefault="001702B5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702B5">
      <w:trPr>
        <w:trHeight w:val="56"/>
      </w:trPr>
      <w:tc>
        <w:tcPr>
          <w:tcW w:w="10421" w:type="dxa"/>
        </w:tcPr>
        <w:p w:rsidR="001702B5" w:rsidRDefault="001702B5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702B5">
      <w:trPr>
        <w:trHeight w:val="56"/>
      </w:trPr>
      <w:tc>
        <w:tcPr>
          <w:tcW w:w="10421" w:type="dxa"/>
        </w:tcPr>
        <w:p w:rsidR="001702B5" w:rsidRDefault="001702B5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702B5">
      <w:trPr>
        <w:trHeight w:val="56"/>
      </w:trPr>
      <w:tc>
        <w:tcPr>
          <w:tcW w:w="10421" w:type="dxa"/>
        </w:tcPr>
        <w:p w:rsidR="001702B5" w:rsidRDefault="001702B5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702B5">
      <w:trPr>
        <w:trHeight w:val="56"/>
      </w:trPr>
      <w:tc>
        <w:tcPr>
          <w:tcW w:w="10421" w:type="dxa"/>
        </w:tcPr>
        <w:p w:rsidR="001702B5" w:rsidRDefault="001702B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C0" w:rsidRDefault="00EC0AC0" w:rsidP="001702B5">
      <w:r>
        <w:separator/>
      </w:r>
    </w:p>
  </w:footnote>
  <w:footnote w:type="continuationSeparator" w:id="0">
    <w:p w:rsidR="00EC0AC0" w:rsidRDefault="00EC0AC0" w:rsidP="00170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702B5">
      <w:trPr>
        <w:trHeight w:val="56"/>
      </w:trPr>
      <w:tc>
        <w:tcPr>
          <w:tcW w:w="10421" w:type="dxa"/>
        </w:tcPr>
        <w:p w:rsidR="001702B5" w:rsidRDefault="001702B5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702B5">
      <w:trPr>
        <w:trHeight w:val="56"/>
      </w:trPr>
      <w:tc>
        <w:tcPr>
          <w:tcW w:w="10421" w:type="dxa"/>
        </w:tcPr>
        <w:p w:rsidR="001702B5" w:rsidRDefault="001702B5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702B5">
      <w:trPr>
        <w:trHeight w:val="56"/>
      </w:trPr>
      <w:tc>
        <w:tcPr>
          <w:tcW w:w="10421" w:type="dxa"/>
        </w:tcPr>
        <w:p w:rsidR="001702B5" w:rsidRDefault="001702B5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702B5">
      <w:trPr>
        <w:trHeight w:val="56"/>
      </w:trPr>
      <w:tc>
        <w:tcPr>
          <w:tcW w:w="10421" w:type="dxa"/>
        </w:tcPr>
        <w:p w:rsidR="001702B5" w:rsidRDefault="001702B5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702B5">
      <w:trPr>
        <w:trHeight w:val="56"/>
      </w:trPr>
      <w:tc>
        <w:tcPr>
          <w:tcW w:w="10421" w:type="dxa"/>
        </w:tcPr>
        <w:p w:rsidR="001702B5" w:rsidRDefault="001702B5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702B5">
      <w:trPr>
        <w:trHeight w:val="56"/>
      </w:trPr>
      <w:tc>
        <w:tcPr>
          <w:tcW w:w="10421" w:type="dxa"/>
        </w:tcPr>
        <w:p w:rsidR="001702B5" w:rsidRDefault="001702B5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702B5">
      <w:trPr>
        <w:trHeight w:val="56"/>
      </w:trPr>
      <w:tc>
        <w:tcPr>
          <w:tcW w:w="10421" w:type="dxa"/>
        </w:tcPr>
        <w:p w:rsidR="001702B5" w:rsidRDefault="001702B5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702B5">
      <w:trPr>
        <w:trHeight w:val="56"/>
      </w:trPr>
      <w:tc>
        <w:tcPr>
          <w:tcW w:w="10421" w:type="dxa"/>
        </w:tcPr>
        <w:p w:rsidR="001702B5" w:rsidRDefault="001702B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B5"/>
    <w:rsid w:val="001702B5"/>
    <w:rsid w:val="008B26CE"/>
    <w:rsid w:val="00942660"/>
    <w:rsid w:val="00BA709E"/>
    <w:rsid w:val="00BE509F"/>
    <w:rsid w:val="00E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702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70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5702</Words>
  <Characters>32504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2024-04-16T05:30:00Z</dcterms:created>
  <dcterms:modified xsi:type="dcterms:W3CDTF">2024-04-16T05:30:00Z</dcterms:modified>
</cp:coreProperties>
</file>