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5F72BF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5F72BF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F72BF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5F72BF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5F72B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5F72BF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5F72B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5F72BF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</w:tr>
      <w:tr w:rsidR="005F72B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</w:tr>
      <w:tr w:rsidR="005F72B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03178023</w:t>
            </w:r>
          </w:p>
        </w:tc>
      </w:tr>
      <w:tr w:rsidR="005F72B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</w:t>
            </w:r>
          </w:p>
        </w:tc>
      </w:tr>
      <w:tr w:rsidR="005F72BF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5F72BF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</w:tr>
      <w:tr w:rsidR="005F72BF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5F72BF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5F72BF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5F72BF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5F72BF" w:rsidRDefault="005F72BF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5F72B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F72B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F72BF" w:rsidRDefault="0090245D">
                  <w:pPr>
                    <w:spacing w:after="150"/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социальной защиты населения и труда Администрации Гаврилов -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49"/>
                    <w:gridCol w:w="1665"/>
                  </w:tblGrid>
                  <w:tr w:rsidR="005F72BF">
                    <w:trPr>
                      <w:trHeight w:val="1"/>
                    </w:trPr>
                    <w:tc>
                      <w:tcPr>
                        <w:tcW w:w="1031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8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Ямского муниципального района (далее Управление) является</w:t>
                        </w:r>
                      </w:p>
                    </w:tc>
                    <w:tc>
                      <w:tcPr>
                        <w:tcW w:w="16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(функциональным) органом и входит в структуру Администрации Гаврилов -Ямского муниципального района с правами юридического лица, созданным для решения отдельных вопросов местного самоуправления Гаврилов -Ямского муниципального района, а также для осуществл</w:t>
                  </w:r>
                  <w:r>
                    <w:rPr>
                      <w:color w:val="000000"/>
                      <w:sz w:val="28"/>
                      <w:szCs w:val="28"/>
                    </w:rPr>
                    <w:t>ения отдельных государственных полномочий, переданных органам местного самоуправления Гаврилов -Ямского муниципального района федеральными законами и законами Ярославской области.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является некоммерческой организацией, созданной в форме муниципал</w:t>
                  </w:r>
                  <w:r>
                    <w:rPr>
                      <w:color w:val="000000"/>
                      <w:sz w:val="28"/>
                      <w:szCs w:val="28"/>
                    </w:rPr>
                    <w:t>ьного казенного учреждения.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ИНН/КПП: 7616007422/761601001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ОКТМО 78612101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ОКОПФ 20904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ОКФС 14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ОКПО 03178023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– Самойлов Андрей Евгеньевич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Управление в своей деятельности руководствуется Конституцией РФ, законами и     иными нормативными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актами РФ, законодательством Ярославской области, решениями Собрания представителей Гаврилов -Ямского муниципального района,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постановлениями и распоряжениями Администрации Гаврилов -Ямского муниципального района и иными правовыми актами.</w:t>
                  </w:r>
                </w:p>
                <w:p w:rsidR="005F72BF" w:rsidRDefault="0090245D">
                  <w:pPr>
                    <w:ind w:firstLine="3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являетс</w:t>
                  </w:r>
                  <w:r>
                    <w:rPr>
                      <w:color w:val="000000"/>
                      <w:sz w:val="28"/>
                      <w:szCs w:val="28"/>
                    </w:rPr>
                    <w:t>я ГРБС, главным администратором доходов бюджета, получателем бюджетных средств. Управление наделено функциями и полномочиями учредителя бюджетного учреждения Гаврилов –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комплексный центр социального обслуживания населения «Ветеран».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Имущество Управле</w:t>
                  </w:r>
                  <w:r>
                    <w:rPr>
                      <w:color w:val="000000"/>
                      <w:sz w:val="28"/>
                      <w:szCs w:val="28"/>
                    </w:rPr>
                    <w:t>ния является государственной собственностью и закреплено за ним на праве оперативного управления.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Управлению открыты лицевые счета:</w:t>
                  </w:r>
                </w:p>
                <w:p w:rsidR="005F72BF" w:rsidRDefault="0090245D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лицевой счет администратора доходов № 04713002400.</w:t>
                  </w:r>
                </w:p>
                <w:p w:rsidR="005F72BF" w:rsidRDefault="0090245D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лицевые счета получателя бюджетных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средств:  №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8690010012;</w:t>
                  </w:r>
                </w:p>
                <w:p w:rsidR="005F72BF" w:rsidRDefault="0090245D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№ 14712090800; № 03713002400;</w:t>
                  </w:r>
                </w:p>
                <w:p w:rsidR="005F72BF" w:rsidRDefault="0090245D">
                  <w:pPr>
                    <w:spacing w:after="160"/>
                    <w:ind w:left="560" w:firstLine="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лицевой счет для учета операций со средствами, поступающими во временное распоряжение, №869010027.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осуществляет свою деятельность в соответствии с предметом и целями деятельности, которые определены действующим зако</w:t>
                  </w:r>
                  <w:r>
                    <w:rPr>
                      <w:color w:val="000000"/>
                      <w:sz w:val="28"/>
                      <w:szCs w:val="28"/>
                    </w:rPr>
                    <w:t>нодательством Российской Федерации, Ярославской области, локальными нормативными актами Администрации Гаврилов - Ямского муниципального района.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Предметом деятельности Управления является оказание услуг, направленных на обеспечение реализации полномочий Учр</w:t>
                  </w:r>
                  <w:r>
                    <w:rPr>
                      <w:color w:val="000000"/>
                      <w:sz w:val="28"/>
                      <w:szCs w:val="28"/>
                    </w:rPr>
                    <w:t>едителя в соответствии с действующим законодательством.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Основная цель деятельности Управления является проведение на территории муниципального района государственной политики в сфере социальной поддержки населения, охраны труда и социального партнерства, о</w:t>
                  </w:r>
                  <w:r>
                    <w:rPr>
                      <w:color w:val="000000"/>
                      <w:sz w:val="28"/>
                      <w:szCs w:val="28"/>
                    </w:rPr>
                    <w:t>рганизации и осуществления опеки и попечительства.</w:t>
                  </w:r>
                </w:p>
                <w:p w:rsidR="005F72BF" w:rsidRDefault="0090245D">
                  <w:pPr>
                    <w:spacing w:after="1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Для достижения поставленных целей Управление осуществляет следующие виды деятельности: - реализует переданные государственные полномочия в сфере охраны труда и социально-трудовых отношений в части: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организации сбора и обработки информации о состоянии условий и охраны труда у работодателей;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координации проведения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проверка знаний ими охраны труда, а также проведения обучения оказанию перво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й помощи пострадавшим на производстве;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проведение уведомительной регистрации коллективных договоров и территориальных соглашений;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осуществление контроля исполнения коллективных договоров и территориальных соглашений;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координация деятельности орган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ов, осуществляющих мероприятия по контролю соблюдения трудового законодательства в подведомственных организациях.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реализует переданные государственные полномочия в сфере социальной поддержки населения в части:</w:t>
                        </w:r>
                      </w:p>
                    </w:tc>
                  </w:tr>
                </w:tbl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подтверждения права граждан на получение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персонифицированной транспортной карты;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 отдыха и оздоровления детей погибших сотрудников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правоохранительных органов и военнослужащих;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назначения и выплаты пособий и компенсаций в соответствии с Законами Российской Федерации и ярославской о</w:t>
                  </w:r>
                  <w:r>
                    <w:rPr>
                      <w:color w:val="000000"/>
                      <w:sz w:val="28"/>
                      <w:szCs w:val="28"/>
                    </w:rPr>
                    <w:t>бласти «Социальный кодекс»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оказания социальной помощи населению,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выплата материальной помощи малоимущим гражданам и малоимущим семьям с детьми.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реализует переданные государственные полномочия в сфере опеки и попечительства в части организации и осуществления деятельности по опеке и попечительству над совершеннолетними гражданами.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осуществляет предоставление и участвует в предоставлении государс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твенных услуг в соответствии с Административными регламентами.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реализует переданные полномочия по предоставлению муниципальных услуг.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участвует в проведении мероприятий социальной реабилитации инвалидов (детей - инвалидов).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принимает решение о при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знании гражданина нуждающимся в социальном обслуживании, либо в отказе и составляет индивидуальную программу.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проводит работу по профилактике беспризорности, безнадзорности и правонарушений среди детей и подростков.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проводит работу по социальной, про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фессиональной реабилитации инвалидов формированию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безбарьерной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среды жизнедеятельности инвалидов.</w:t>
                        </w:r>
                      </w:p>
                    </w:tc>
                  </w:tr>
                </w:tbl>
                <w:p w:rsidR="005F72BF" w:rsidRDefault="005F72BF">
                  <w:pPr>
                    <w:spacing w:line="1" w:lineRule="auto"/>
                  </w:pPr>
                </w:p>
              </w:tc>
            </w:tr>
          </w:tbl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F72B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F72B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01 января 2025г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штатная  численность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работников Управления составляет 10 человек.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состав Управления входит 2 отдела: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отдел по социальным вопросам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отдел учета и отчетности</w:t>
                        </w: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Ведение бюджетного учета осуществляется отделом учета и отчетности. Отдел учета и отчетности осуществляет свою деятельность на основании Положения об отделе учета и отчетности, штатная численность отдела составляет 2 человека.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Управлении созданы постоянн</w:t>
                  </w:r>
                  <w:r>
                    <w:rPr>
                      <w:color w:val="000000"/>
                      <w:sz w:val="28"/>
                      <w:szCs w:val="28"/>
                    </w:rPr>
                    <w:t>о действующие комиссии: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поступлению и выбытию активов;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инвентаризационная комиссия;</w:t>
                        </w: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использованием телекоммуникационных каналов связи и электронной подписи отдел учета и отчетности Управление ведет электронный документооборот по следующим напра</w:t>
                  </w:r>
                  <w:r>
                    <w:rPr>
                      <w:color w:val="000000"/>
                      <w:sz w:val="28"/>
                      <w:szCs w:val="28"/>
                    </w:rPr>
                    <w:t>влениям: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обмен данными с отделением Управления Федерального казначейства по осуществлению функций администратора доходов и получателя бюджетных средств в СУФД;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обмен данными с отделами Управлением финансов администрации Гаврилов - Ямского муниципальн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ого района по ведению бюджетной росписи, кассового плана, осуществление кассового расхода по исполнению сметы в АС «УРМ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»;ИАС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Мониторинг Ярославской области;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передача отчетности и другой информации по налогам, сборам и иным обязательным платежам, страховым взносам, сведениям персонифицированного учета в межрайонную ИФНС №7, отделение ОСФР, 76-00 ТОГС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 Росстат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) через онлайн-портал СБИСС Электронная отчетность 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документооборот;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передача реестров для зачисления на счета физических лиц компенсаций, пособий и социальных выплат производится через систему Сбербанк Бизнес Онлайн в ПАО «Сбербанк»; ОАО «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Россельхозбанк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».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передача разовых поручений и ведомостей на в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ыплату компенсаций, пособий и социальных выплат с УФПС «Почта России»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передача реестров для зачисления заработной платы сотрудникам Управления производится через систему Сбербанк Бизнес Онлайн в ПАО «Сбербанк»;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передача электронных списков на выпуск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зарплатных банковских карт производится через систему Сбербанк Бизнес Онлайн в ПАО «Сбербанк».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получение документов от контрагентов в целях приобретения материальных ценностей, оказания услуг выполнения работ, подписанных квалифицированной электронной подписью, через онлайн портал СБИСС Электронная отчетность и документооборот.</w:t>
                        </w:r>
                      </w:p>
                    </w:tc>
                  </w:tr>
                </w:tbl>
                <w:p w:rsidR="005F72BF" w:rsidRDefault="0090245D">
                  <w:pPr>
                    <w:ind w:firstLine="2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Электронные документ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ы, подписанные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квалифицированной подписью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хранятся: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серверах специализированного оператора связи ООО «Удостоверяющего центр Тензор»;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Управления Федерального казначейства;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ПАО «Сбербанк»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Управлении финансов администрации Гаврилов -Ямского муниципального района.</w:t>
                        </w: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Бухгалтерский учет в управлении ведется в программе "1С: Предприятие".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Сдача отчетности осуществляется с помощью следующих программ: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СБиС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++» в отделении ОСФР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 Ярославской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об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ласти, УПФ по Гаврилов Ямскому р-ну, ИФНС № 7 по Ярославской области.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модуль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природопользователя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для сдачи отчетности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Росприроднадзор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Web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-консолидация - бюджетная отчетность по Управлению и МУ КЦСОН Гаврилов-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Ямский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«Ветеран».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Приложение Департамент труда и социальной защиты населения- отчеты по начисленным и выплаченным межбюджетным трансфертам в Департамент труда и социальной поддержки населения.</w:t>
                        </w: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программе «СУФД» производятся операции: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поступлению доходов;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ведение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реестра администрируемых доходов.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расходованию средств в части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софинансирования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областного и федерального бюджетов;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заявки на возврат средств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МТиСПН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ЯО;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уведомления по уточнению платежей по поступлению доходов и восстановление кассового расхо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да.</w:t>
                        </w:r>
                      </w:p>
                    </w:tc>
                  </w:tr>
                </w:tbl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Операции по расходованию средств областного и местного бюджетов, ведение росписи, лимитов, кассового плана, бюджетных обязательств, ведется в программе АС «УРМ».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Операции по передаче реестров на зачисление сумм во вклады и сберегательные карты производится с помощью следующих программ: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ПАО Сбербанк - СБО;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Россельхозбанк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- «Клиент - Банк»;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Почта Банк - «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VipNet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Клиент»</w:t>
                        </w:r>
                      </w:p>
                    </w:tc>
                  </w:tr>
                </w:tbl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Операции по передаче ведомостей на выплату пособий и компенсаций через УФПС «Почта России» производится с помощью программы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VipNet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Клиент.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Управлении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СЗНиТ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 АГЯМР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учетная политика на 2024 год утверждена Приказом от 29.12.2023 №531.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целью улучшения сост</w:t>
                  </w:r>
                  <w:r>
                    <w:rPr>
                      <w:color w:val="000000"/>
                      <w:sz w:val="28"/>
                      <w:szCs w:val="28"/>
                    </w:rPr>
                    <w:t>ояния и сохранности основных средств заключены договора: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ремонту и обслуживанию основных средств;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подключению к пульту охранной сигнализации всех кабинетов Управления;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подключению к пульту пожарной охраны.</w:t>
                        </w: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2024 году курсы повышения квалификации прошли 3 сотрудника Управления.</w:t>
                  </w:r>
                </w:p>
              </w:tc>
            </w:tr>
          </w:tbl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F72B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F72B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F72BF" w:rsidRDefault="0090245D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отчетном периоде в доход бюджета Гаврилов - Ямского муниципального района поступило администрируемых Управлением доходов в сумме 145 873 868 руб. 58 коп, в том числе: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межбюджетных трансфертов на сумму 145 873 868 руб. 58 коп.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невыясненные поступлен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ия в сумме 164 054 руб.28 коп.</w:t>
                        </w: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Поступление доходов уменьшилось по сравнению с прошлым периодом 2023 года на 17,07%, что составило 30 018 889 руб.98 коп.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Расходы за 2024 год составили 147 443 408 руб. 32 коп. Расходы уменьшились на 17,05 % мен</w:t>
                  </w:r>
                  <w:r>
                    <w:rPr>
                      <w:color w:val="000000"/>
                      <w:sz w:val="28"/>
                      <w:szCs w:val="28"/>
                    </w:rPr>
                    <w:t>ьше по сравнению с расходами с прошлым периодом 2023 года, что составило 30 303 308 руб.95 коп.                                                             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 </w:t>
                  </w:r>
                </w:p>
                <w:p w:rsidR="005F72BF" w:rsidRDefault="0090245D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Управлением в соответствии с постановлением Правительства области №782-п от 18.08.2023 реализ</w:t>
                  </w:r>
                  <w:r>
                    <w:rPr>
                      <w:color w:val="000000"/>
                      <w:sz w:val="28"/>
                      <w:szCs w:val="28"/>
                    </w:rPr>
                    <w:t>уется проект по организации услуг по уходу в рамках пилотной организации системы долговременного ухода за гражданами пожилого возраста и инвалидами. Общая сумма финансирования в 2024 году составит 11 225 610,00 рублей, исполнено 11 225 605 руб.09 копеек. 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оличество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граждан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включаемых в социальный пакет обслуживания на дому- 32 человека.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69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87"/>
                    <w:gridCol w:w="1466"/>
                    <w:gridCol w:w="1269"/>
                    <w:gridCol w:w="1132"/>
                    <w:gridCol w:w="954"/>
                    <w:gridCol w:w="2687"/>
                  </w:tblGrid>
                  <w:tr w:rsidR="005F72BF">
                    <w:tc>
                      <w:tcPr>
                        <w:tcW w:w="21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14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126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11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9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26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5F72BF" w:rsidRDefault="005F72BF">
                  <w:pPr>
                    <w:spacing w:line="1" w:lineRule="auto"/>
                  </w:pPr>
                </w:p>
              </w:tc>
            </w:tr>
          </w:tbl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F72B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F72B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 основных средств на 01.01.2025 г. по сравнению с прошлым периодом 2023 года уменьшилась на 729 632, руб.90 коп.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Амортизация на 01.01.2025 г. по сравнению с предшествующим периодом 2023 года уменьшилась на 571 887 руб. 09 коп.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2024г.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поступлений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 21 «Основные средства в эксплуатации до 10 тысяч рублей» не было.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106.00 «Вложения в нефинансовые активы» обороты за 2024 год составили 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121 000руб.00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коп.,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том числе: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приобретено основных средств на сумму 12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1 000 руб.00 коп;</w:t>
                        </w:r>
                      </w:p>
                    </w:tc>
                  </w:tr>
                </w:tbl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Безвозмездные поступления отражены по счету 105.36.349 «Материальные запасы» за 2024год составили 10 510 руб. 17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коп.,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том числе: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от Министерства труда и социальной поддержки населения Ярославской области по извещению от 24.06.2024 №93 комплект "За любовь и верность", грамота к медали "День семьи ,любви и верности"  в сумме 3182,00,по извещению от 07.05.2024 г бланк "Удостоверение </w:t>
                  </w:r>
                  <w:r>
                    <w:rPr>
                      <w:color w:val="000000"/>
                      <w:sz w:val="28"/>
                      <w:szCs w:val="28"/>
                    </w:rPr>
                    <w:t>многодетной семьи Ярославской области  в сумме 1752,05рубля, по извещению от 18.12.2024 г бланк "Удостоверение многодетной семьи" в сумме 4122,12 рублей, по извещению от 22.08.2024 г удостоверение "Ветерана" в сумме 1057,40 рублей, по извещению от 22.08.20</w:t>
                  </w:r>
                  <w:r>
                    <w:rPr>
                      <w:color w:val="000000"/>
                      <w:sz w:val="28"/>
                      <w:szCs w:val="28"/>
                    </w:rPr>
                    <w:t>24 г бланк удостоверения "Ветеран труда Ярославской области" в сумме 396,60 рублей. 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Поступления средств отражены в ф. 0503168 «Сведения о движении нефинансовых активов» и в расшифровке показателей, отраженных в справке по заключению счетов бюджетного учет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 отчетного финансового года ф. 0503110Р «Расшифровка показателей, отраженных в Справке по заключению счетов бюджетного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учета  отчетного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финансового года ф.0503110» за 2024 год: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2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5"/>
                    <w:gridCol w:w="3011"/>
                    <w:gridCol w:w="905"/>
                    <w:gridCol w:w="1327"/>
                    <w:gridCol w:w="4277"/>
                    <w:gridCol w:w="35"/>
                  </w:tblGrid>
                  <w:tr w:rsidR="005F72BF">
                    <w:tc>
                      <w:tcPr>
                        <w:tcW w:w="10320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показателей, отраженных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Справке по заключению учреждением счет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ов бюджетного учета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 отчетного финансового года (ф.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0503110)¹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справочно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(код) строки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Пояснения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Курсовая разница по денежным средствам в корреспонденции со счетами 201.XX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Доходы от оценки активов и обязательств, всего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(1111+1112)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Изменение кадастровой стоимости земельных участков, включая земельные участки в составе казны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Финансовый результат от оценки НФА (ОС, НМА, НПА, МЗ, НФА имущества казны) до справедливой стоимости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Чрезвычайные доходы от операций с активами, всего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123365,26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(1211+1212+1213+1214+1215):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доходам, нереальной к взысканию, и сомнительной задолженности (счета 205ХХ, 209ХХ)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доходам, невостребованной кредиторами (счета 205ХХ, 209ХХ)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1213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расходам, невостребованной подотчетными лицами (счет 208ХХ)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1214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корреспонденции со счетами 2XX.XX, за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исключением счета 207.XX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дебиторской задолженности в связи с приостановлением согласно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законода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тельству РФ предварительного следствия, уголовного дела или принудительного взыскания, а также в связи с признанием виновного лица неплатежеспособным (счета 205ХХ, 209ХХ)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1215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Восстановление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задолженности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ранее списанной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учет (счета 205ХХ, 208ХХ, 209ХХ)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207.XX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кредитам, займам (ссудам), нереальной к взысканию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(1231+1232+1233+1234+1235+1236):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123365,26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10510,17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депонированным суммам, невостребованной в течение срока исковой давности кредиторами (счет 30402)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удержаниям, невостребованной в течение срока исковой давности кредиторами (счет 30403)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1233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принятым обязательствам, невостребованной в течение срока исковой давности кредиторами (счет 302ХХ)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1234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платежам в бюджет, признанной 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огласно законодательству РФ нереальной к взысканию (счет 303ХХ)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1235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Восстановление задолженности, ранее списанной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учет (счет 30ХХХ)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1236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Безвозмездные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поступления текущего характера от сектора государственного управления и организаций государственного сектора, всего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10510,17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105ХХ, 106.34, 108.56, 1066Х, 1116Х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10510,17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материальных запасов, вложений в материальные запасы, в том числе в составе казны, прав пользования нематериальными активами и вложений в права пользования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204.ХX, 205.XX, 206.XX, 208.XX, 209.XX, 210.XX, 215.ХX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финансовых активов и финансовых вложений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133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Безвозмездные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поступления капитального характера от сектора государственного управления и организаций государственного сектора, всего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(1411+1412)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1ХХХХ, за исключением счетов из п.131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объектов НФА (ОС, НМА, НПА, НФА имущества казны, и вложений в НФА)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1412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1ХХХХ, за исключением счетов из п.131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Прекращение в соответствии с законодательством РФ права постоянного (бессрочного) пользования земельными участками (изъятие в казну)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Прочие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безвозмездные поступления, всего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(1511+1512)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Оприходование по результатам инвентаризации объектов НФА (ОС, НМА, НПА, МЗ), НФА имущества казны, прав пользования НМА и вложений в НФА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Оприходование МЗ (в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т.ч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зап.частей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, макулатуры, металлолома, ветоши) остающихся для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хознужд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результатам проведения ремонтных работ, в том числе демонтажа оборудования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Иные доходы, всего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205.XX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(1621+1622):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Оприходование неучтенных денежных средств и денежных документов; безвозмездное получение денежных документов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Чрезвычайные расходы по операциям с активами, всего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AF5FD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(1711+1712):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нефинансовыми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объектов НФА (ОС, НМА, НПА, НФА имущества казны) и вложений в НФА, пришедших в негодность или уничтоженных в результате ЧС, стихийных и иных бедствий, опасного природного явления, катастрофы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нефинансовыми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Признание расходами текущего финансового года произведенных капитальных вложений при наличии решения о прекращении реализации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инвестпроекта</w:t>
                        </w:r>
                        <w:proofErr w:type="spellEnd"/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 операций с материальными запасами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МЗ, вложений в МЗ, в том числе из состава казны, пришедших в негодность вследствие стихийных бедствий и иных ЧС (в том числе недостач и потерь, образовавшихся по указанным причинам)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(1731+1732+1733+1734+1735):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E5D6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1731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дебиторской задолженности по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расходам ,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признанной нереальной к взысканию (счета 206ХХ, 208ХХ)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1732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расходов по оплате неотработанных дней отпуска, не возмещенных уволившимися работниками (счет 401.50)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1733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 денежных документов по причине уничтожения, порчи в результате форс-мажорных обстоятельств и порчи (счет 201.35)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1734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Выбытия (поступления) денежных средств при признании требований по возмещению ущерба вследствие недостач, хищений денежных средств,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принятия Банком России решения об отзыве лицензии на осуществление банковских операций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1735</w:t>
                        </w:r>
                      </w:p>
                    </w:tc>
                    <w:tc>
                      <w:tcPr>
                        <w:tcW w:w="3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10320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10320" w:type="dxa"/>
                        <w:gridSpan w:val="5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10320" w:type="dxa"/>
                        <w:gridSpan w:val="5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  <w:tr w:rsidR="005F72BF">
                    <w:tc>
                      <w:tcPr>
                        <w:tcW w:w="10320" w:type="dxa"/>
                        <w:gridSpan w:val="5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jc w:val="both"/>
                        </w:pPr>
                      </w:p>
                      <w:p w:rsidR="005F72BF" w:rsidRDefault="005F72BF">
                        <w:pPr>
                          <w:jc w:val="both"/>
                        </w:pPr>
                      </w:p>
                    </w:tc>
                  </w:tr>
                </w:tbl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0503169 «Сведения по дебиторской и кредиторской задолженности»: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Дебиторская задолженность на 01.01.2025 г. составляет 462 403 479 руб. 19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коп.,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том числе: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2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4"/>
                    <w:gridCol w:w="3653"/>
                    <w:gridCol w:w="2688"/>
                  </w:tblGrid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398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(код) счета бюджетного учета</w:t>
                        </w:r>
                      </w:p>
                    </w:tc>
                    <w:tc>
                      <w:tcPr>
                        <w:tcW w:w="6341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 задолженности, руб. на конец отчетного периода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98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 нереальная к взысканию, просроченная задолженность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5F72BF" w:rsidRDefault="0090245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Начисление доходов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2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4"/>
                    <w:gridCol w:w="3666"/>
                    <w:gridCol w:w="2675"/>
                  </w:tblGrid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25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Начисление доходов на 3 года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869 </w:t>
                        </w:r>
                        <w:r>
                          <w:rPr>
                            <w:color w:val="1D1B11"/>
                            <w:sz w:val="28"/>
                            <w:szCs w:val="28"/>
                          </w:rPr>
                          <w:t>202ххххххххххх150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20551000</w:t>
                        </w:r>
                      </w:p>
                    </w:tc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462 398 308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25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Переплаты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25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Переплаты прошлых лет, подлежащие возврату в федеральный и областной бюджеты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869 113029950050000 1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2093000</w:t>
                        </w:r>
                      </w:p>
                    </w:tc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Текущая дебиторская задолженность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869 1006 0310170870 1</w:t>
                        </w:r>
                      </w:p>
                    </w:tc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5 171,19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462 403 479,19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сравнению с задолженностью на 01 января 2024 г., дебиторская задолженность увеличилась на 78 950 198 руб.14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коп.,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связи с тем что: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доходы по межбюджетным трансфертам начисляются согласно Закону Ярославской области «Об областном бюджете на 2025 и пл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ановый период 2026-2027гг.» от 09.12.2024 № 88-з. Начисление доходов увеличилось в сумме 78 950 198,14 рублей,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связи с тем что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были увеличены ассигнования по субвенции на обеспечение долговременного ухода за гражданами пожилого возраста и инвалидами.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выявленная переплата прошлых лет, подлежащая возврату в федеральный и областной бюджеты в связи с тем, что получатели пособий и компенсационных выплат несвоевременно сообщили об обстоятельствах, влияющих на изменение размера выплаты, была признана сомните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льной к взысканию и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отнесена  на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04 счет.</w:t>
                        </w:r>
                      </w:p>
                    </w:tc>
                  </w:tr>
                </w:tbl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на 01.01.2025г. составляет 348 827 руб. 64 коп.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36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2836"/>
                    <w:gridCol w:w="3115"/>
                  </w:tblGrid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438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(код) счета бюджетного учета</w:t>
                        </w:r>
                      </w:p>
                    </w:tc>
                    <w:tc>
                      <w:tcPr>
                        <w:tcW w:w="5951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 задолженности, руб. на конец отчетного периода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 нереальная к взысканию, просроченная задолженность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3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Заработная плата, пособие по уходу за ребенком до 3 лет, пособие по оплате больничного листа и по уходу за ребенком до 1,5 лет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3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кредиторская задолженность по заработной плате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869 10060310170870121 1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30211000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157 978,73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869 10060310170870121 1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30301000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23 605,00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3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Налоги по заработной плате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3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кредиторская задолженность по налогам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869 10060310170870129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1 303хх000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167 099,16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3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Расчеты с депонентами</w:t>
                        </w:r>
                      </w:p>
                    </w:tc>
                  </w:tr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1033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текущая кредиторская задолженность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869 10060310170870 244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144,75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348 827,64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4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Кредиторская задолженность увеличилась по сравнению с задолженностью на 01.01.2024 г.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  сумму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68 059руб. 84 коп., что составляет 24,2 %.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01.01.2025 кредиторская задолженность складывается по следующим счетам: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счету 302.21 «Расчеты по услугам связи».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счетам 302.11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 Расчеты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заработной плате»;   303.01 «Расчеты по налогу на доходы физических лиц»; 303.06 «Расчеты по страховы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 взносам на обязательное социальное страхование от несчастных случаев на производстве и профессиональных заболеваний»; 303.15 « Расчеты по единому страховому тарифу»; не выплачена заработная плата и начисления на нее за 2 половину декабря 2024 г., т.к. ср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 заработной платы 14 числа следующего месяца;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Сведения о показателях отчетности по сегментам:</w:t>
                        </w:r>
                      </w:p>
                    </w:tc>
                  </w:tr>
                </w:tbl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части дебиторской задолженности:</w:t>
                  </w:r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1) участники бюджетного процесса:</w:t>
                  </w:r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счет 205.51.001 – 462 398 308 руб.,</w:t>
                  </w:r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в части кредиторской задолженности:</w:t>
                  </w:r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1) участники бюджетного процесса:</w:t>
                  </w:r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счет 303.01.001 – 23 605 руб.,</w:t>
                  </w:r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счет 303.06.001 – 1106 руб. 62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коп.,</w:t>
                  </w:r>
                  <w:proofErr w:type="gramEnd"/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счет 303.15.001 –165 992руб. 54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коп.,</w:t>
                  </w:r>
                  <w:proofErr w:type="gramEnd"/>
                </w:p>
                <w:p w:rsidR="005F72BF" w:rsidRDefault="0090245D">
                  <w:pPr>
                    <w:ind w:left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счет 401.40.151 - 462 398 308 руб.</w:t>
                  </w:r>
                </w:p>
                <w:p w:rsidR="005F72BF" w:rsidRDefault="0090245D">
                  <w:pPr>
                    <w:ind w:firstLine="1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Остаток на 01.01.2025 по счету 401.50 «Расходы буд</w:t>
                  </w:r>
                  <w:r>
                    <w:rPr>
                      <w:color w:val="000000"/>
                      <w:sz w:val="28"/>
                      <w:szCs w:val="28"/>
                    </w:rPr>
                    <w:t>ущих периодов» составляет 17 759 руб.58 коп. 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АО «Местный поставщик», договор 42S00771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L  от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05.12.2024 права на программы для ЭВМ   – 9092 руб. 94коп.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Общество с ограниченной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ответственностью  "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КОМПАНИЯ "ТЕНЗОР" ПО, договор 1240906796659507 от 06.09.2024 неисключительные права использования "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СБиС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++"  8666руб.64коп.</w:t>
                        </w:r>
                      </w:p>
                    </w:tc>
                  </w:tr>
                </w:tbl>
                <w:p w:rsidR="005F72BF" w:rsidRDefault="0090245D">
                  <w:pPr>
                    <w:ind w:right="-3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5F72BF" w:rsidRDefault="0090245D">
                  <w:pPr>
                    <w:ind w:firstLine="5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 января 2025 года по счету 401.60 «Резервы предстоящих расходов» отра</w:t>
                  </w:r>
                  <w:r>
                    <w:rPr>
                      <w:color w:val="000000"/>
                      <w:sz w:val="28"/>
                      <w:szCs w:val="28"/>
                    </w:rPr>
                    <w:t>жены резервы по не отгулянным отпускам и начислены на них страховые взносы, сумма резервов составила 197 741 руб.05 коп, в том числе: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9834"/>
                  </w:tblGrid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отпускам в сумме 151 874 руб. 85 коп;</w:t>
                        </w:r>
                      </w:p>
                    </w:tc>
                  </w:tr>
                  <w:tr w:rsidR="005F72BF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начисленным страховым взносам в сумме 45 866 руб. 20 коп.</w:t>
                        </w: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2024 году уменьшение особо ценного имущества МУ Гаврилов 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КЦСОН «Ветеран» составляет 117 098 руб. 69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коп.,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что отражено в форе 0503110 «Справка по заключению счетов бюджетного учета отчетного финансового года»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9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78"/>
                    <w:gridCol w:w="2203"/>
                    <w:gridCol w:w="643"/>
                    <w:gridCol w:w="4195"/>
                  </w:tblGrid>
                  <w:tr w:rsidR="005F72BF">
                    <w:trPr>
                      <w:trHeight w:val="230"/>
                      <w:jc w:val="center"/>
                    </w:trPr>
                    <w:tc>
                      <w:tcPr>
                        <w:tcW w:w="327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spacing w:before="5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Корреспондирующий счет</w:t>
                        </w:r>
                      </w:p>
                    </w:tc>
                    <w:tc>
                      <w:tcPr>
                        <w:tcW w:w="704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Код счета бюджетного учета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27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1 401 10 172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</w:tc>
                    <w:tc>
                      <w:tcPr>
                        <w:tcW w:w="4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причина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Нефинансовые     активы,</w:t>
                        </w:r>
                      </w:p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всего, в том числе по счетам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4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spacing w:before="5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11109000000000000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spacing w:before="5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117 098,69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4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Уменьшение ОЦИ МУ Гаврилов -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Ямский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КЦСОН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 Ветеран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5F72BF">
                    <w:trPr>
                      <w:jc w:val="center"/>
                    </w:trPr>
                    <w:tc>
                      <w:tcPr>
                        <w:tcW w:w="3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204.33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90245D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4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Форма 0503173 «Сведения об изменении остатков валюты баланса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»:  </w:t>
                  </w:r>
                </w:p>
                <w:p w:rsidR="005F72BF" w:rsidRDefault="0090245D">
                  <w:pPr>
                    <w:spacing w:after="60"/>
                    <w:ind w:firstLine="56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 разделе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2 по коду причины 05 «пересчеты показателей отчетности» отражена  дебиторская задолженность в сумме 249 614 287.</w:t>
                  </w:r>
                </w:p>
                <w:p w:rsidR="005F72BF" w:rsidRDefault="0090245D">
                  <w:pPr>
                    <w:ind w:left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Остатка средств на счете 869010027 во временном распоряжении нет.</w:t>
                  </w:r>
                </w:p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14"/>
                  </w:tblGrid>
                  <w:tr w:rsidR="005F72BF">
                    <w:tc>
                      <w:tcPr>
                        <w:tcW w:w="10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400" w:type="dxa"/>
                        </w:tcMar>
                      </w:tcPr>
                      <w:p w:rsidR="005F72BF" w:rsidRDefault="0090245D">
                        <w:pPr>
                          <w:spacing w:before="100" w:after="10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</w:tbl>
                <w:p w:rsidR="005F72BF" w:rsidRDefault="005F72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14"/>
                  </w:tblGrid>
                  <w:tr w:rsidR="005F72BF">
                    <w:tc>
                      <w:tcPr>
                        <w:tcW w:w="10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5F72BF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</w:t>
                  </w:r>
                </w:p>
              </w:tc>
            </w:tr>
          </w:tbl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F72BF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F72B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Основные положения учетной политики Управления в соответствии с принятыми федеральными стандартами:</w:t>
                  </w:r>
                </w:p>
                <w:p w:rsidR="005F72BF" w:rsidRDefault="0090245D">
                  <w:pPr>
                    <w:spacing w:before="190" w:after="190"/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Бюджетный учет отдельных видов имущества и обязательств осуществляется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учетом нижеуказанных особенностей: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п.35 Стандарта «Основные средства»), п.44 Инструкции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№157н, комиссией по поступлению и выбытию активов;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амортизация по всем основным средствам начисляется линейным методом в последний рабочий день месяца;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компьютер, в состав которого входят объединенные в один инвентарный объект системный блок, клавиа</w:t>
                  </w:r>
                  <w:r>
                    <w:rPr>
                      <w:color w:val="000000"/>
                      <w:sz w:val="28"/>
                      <w:szCs w:val="28"/>
                    </w:rPr>
                    <w:t>тура, компьютерная мышь, монитор, признается в Управлении комплексом объектов основных средств;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все прочие объекты основных средств учитываются как отдельные инвентарные объекты;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каждому инвентарному объекту основных средств присваивается инвентарный номер, состоящий из 8 знаков на основании утвержденных рекомендаций Методологического совета по бюджетному учету при Губернаторе области (информационное письмо департамента финансов </w:t>
                  </w:r>
                  <w:r>
                    <w:rPr>
                      <w:color w:val="000000"/>
                      <w:sz w:val="28"/>
                      <w:szCs w:val="28"/>
                    </w:rPr>
                    <w:t>Ярославской области от 30.06.2011г. №33-1820/11) и с учетом технической возможности ПП АС Смета;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случае если объект является комплексом объектов основных средств, инвентарный номер обозначается на каждой части комплекса;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основные средства, выявленные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 инвентаризации, принимаются к учету по справедливой стоимости, определенной комиссией по поступлению и выбытию активов методом рыночных цен; 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балансовая стоимость объекта основных средств группы «Машины и оборудование» увеличивается на стоимость за</w:t>
                  </w:r>
                  <w:r>
                    <w:rPr>
                      <w:color w:val="000000"/>
                      <w:sz w:val="28"/>
                      <w:szCs w:val="28"/>
                    </w:rPr>
                    <w:t>трат по замене отдельных составных частей в случае модернизации, частичной ликвидации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разукомплектации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) при условии, что такие составные части в соответствии с критериями признания объекта основных средств признаются активом и согласно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порядку эксплуатаци</w:t>
                  </w:r>
                  <w:r>
                    <w:rPr>
                      <w:color w:val="000000"/>
                      <w:sz w:val="28"/>
                      <w:szCs w:val="28"/>
                    </w:rPr>
                    <w:t>и объекта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требуется такая замена, в том числе в ходе капитального ремонта. Одновременно балансовая стоимость этого объекта корректируется на стоимость выбывающих и/или заменяемых частей;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балансовая стоимость объекта основных средств в случаях дооборудова</w:t>
                  </w:r>
                  <w:r>
                    <w:rPr>
                      <w:color w:val="000000"/>
                      <w:sz w:val="28"/>
                      <w:szCs w:val="28"/>
                    </w:rPr>
                    <w:t>ния увеличивается на сумму сформированных капитальных вложений в этот объект;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стоимость основного средства изменяется в случае проведения переоценки этого основного средства и отражения ее результатов в учете;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составе нематериальных активов учитывают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ся объекты, соответствующие критериям признания в качестве нематериальных активов, в частности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неисключительные права пользования на результаты интеллектуальной деятельности (права пользования на результаты интеллектуальной деятельности в соответствии с ли</w:t>
                  </w:r>
                  <w:r>
                    <w:rPr>
                      <w:color w:val="000000"/>
                      <w:sz w:val="28"/>
                      <w:szCs w:val="28"/>
                    </w:rPr>
                    <w:t>цензионными договорами либо иными документами, подтверждающими существование права на результаты интеллектуальной деятельности);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сроком полезного использования нематериального актива является период, в течение которого предполагается использование актива</w:t>
                  </w:r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нематериальные активы, по которым невозможно надежно определить срок полезного использования, относятся к нематериальным активам с неопределенным сроком полезного использования;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амортизация по всем нематериальным активам начисляется линейным методом</w:t>
                  </w:r>
                  <w:r>
                    <w:rPr>
                      <w:color w:val="000000"/>
                      <w:sz w:val="28"/>
                      <w:szCs w:val="28"/>
                    </w:rPr>
                    <w:t>;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единицей бухгалтерского учета материальных запасов является номенклатурная (реестровая) единица;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</w:t>
                  </w:r>
                  <w:r>
                    <w:rPr>
                      <w:color w:val="000000"/>
                      <w:sz w:val="28"/>
                      <w:szCs w:val="28"/>
                    </w:rPr>
                    <w:t>ием;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материальные запасы, в фактическую стоимость которых помимо стоимости самих материальных за</w:t>
                  </w:r>
                  <w:r>
                    <w:rPr>
                      <w:color w:val="000000"/>
                      <w:sz w:val="28"/>
                      <w:szCs w:val="28"/>
                    </w:rPr>
                    <w:t>пасов включаются дополнительные расходы, связанные с их приобретением, отражаются в учете с применением счета 1.106.04.000 «Вложения в материальные запасы»;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признание в учете материалов, полученных в результате ремонта, разборки, модернизации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разукомпле</w:t>
                  </w:r>
                  <w:r>
                    <w:rPr>
                      <w:color w:val="000000"/>
                      <w:sz w:val="28"/>
                      <w:szCs w:val="28"/>
                    </w:rPr>
                    <w:t>ктации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), утилизации (ликвидации) объектов основных средств, пригодных к дальнейшей эксплуатации, отражается по справедливой стоимости, определяемой методом рыночных цен комиссией по поступлению и выбытию активов;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материальные запасы, непригодные к дальне</w:t>
                  </w:r>
                  <w:r>
                    <w:rPr>
                      <w:color w:val="000000"/>
                      <w:sz w:val="28"/>
                      <w:szCs w:val="28"/>
                    </w:rPr>
                    <w:t>йшему использованию, остающиеся после ремонта, разборки, модернизации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разукомплектации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), утилизации (ликвидации) объектов основных средств и подлежащие обязательной утилизации в соответствии с законодательством Российской Федерации, учитываются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</w:t>
                  </w:r>
                  <w:r>
                    <w:rPr>
                      <w:color w:val="000000"/>
                      <w:sz w:val="28"/>
                      <w:szCs w:val="28"/>
                    </w:rPr>
                    <w:t>совом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счете 02 «Материальные ценности на хранении» в условной оценке – один объект один рубль.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выбытие материальных запасов признается по средней фактической стоимости запасов. 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в составе денежных документов учитываются почтовые конверты с марками, о</w:t>
                  </w:r>
                  <w:r>
                    <w:rPr>
                      <w:color w:val="000000"/>
                      <w:sz w:val="28"/>
                      <w:szCs w:val="28"/>
                    </w:rPr>
                    <w:t>тдельно приобретаемые почтовые марки;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денежные документы принимаются в кассу и учитываются по фактической стоимости с учетом всех налогов;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начисление доходов производится на основании закона о бюджете Гаврилов-Ямского муниципального района на 3 года;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 сальдо на 01.01.2021г. со счета 401.40 «Доходы будущих периодов» переводилось на введенный счет 401.49 «Доходы будущих периодов к признанию в очередные года»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перевод сумм доходов будущих периодов с кредита счета 401.49 «Доходы будущ</w:t>
                  </w:r>
                  <w:r>
                    <w:rPr>
                      <w:color w:val="000000"/>
                      <w:sz w:val="28"/>
                      <w:szCs w:val="28"/>
                    </w:rPr>
                    <w:t>их периодов к признанию в очередные года» на счет 401.41 «Доходы будущих периодов к признанию в текущем году» в части доходов будущих периодов, подлежащих к признанию в текущем году, осуществляется в первый рабочий день отчетного года;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отражение счетов 4</w:t>
                  </w:r>
                  <w:r>
                    <w:rPr>
                      <w:color w:val="000000"/>
                      <w:sz w:val="28"/>
                      <w:szCs w:val="28"/>
                    </w:rPr>
                    <w:t>01.41 «Доходы будущих периодов к признанию в текущем году», 401.49 «Доходы будущих периодов к признанию в очередные года» в отчетности производится в соответствии с требованиями вышестоящего финансового органа по раскрытию в бухгалтерской (финансовой) отче</w:t>
                  </w:r>
                  <w:r>
                    <w:rPr>
                      <w:color w:val="000000"/>
                      <w:sz w:val="28"/>
                      <w:szCs w:val="28"/>
                    </w:rPr>
                    <w:t>тности; 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наличие признаков возможного обесценения (снижения убытка) проверяется при инвентаризации соответствующих активов, проводимой перед составлением годовой отчетности;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 выявлении признаков возможного обесценения (снижения убытка) начальник Упр</w:t>
                  </w:r>
                  <w:r>
                    <w:rPr>
                      <w:color w:val="000000"/>
                      <w:sz w:val="28"/>
                      <w:szCs w:val="28"/>
                    </w:rPr>
                    <w:t>авления принимает решение о необходимости (об отсутствии необходимости) определения справедливой стоимости такого актива;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при определении справедливой стоимости актива также оценивается необходимость изменения оставшегося срока полезного использования ак</w:t>
                  </w:r>
                  <w:r>
                    <w:rPr>
                      <w:color w:val="000000"/>
                      <w:sz w:val="28"/>
                      <w:szCs w:val="28"/>
                    </w:rPr>
                    <w:t>тива;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если по результатам определения справедливой стоимости актива выявлен убыток от обесценения, то он подлежит признанию в учете;</w:t>
                  </w:r>
                </w:p>
                <w:p w:rsidR="005F72BF" w:rsidRDefault="0090245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составе расходов будущих периодов учитываются: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>расходы на выплату по ежегодному оплачиваемому отпуску за неотработанные дни отпуска;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иные расходы, осуществляемые в течение разных отчетных периодов. 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В учете формируются следующие резервы предстоящих расходов: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резерв по выплатам персоналу на опла</w:t>
                  </w:r>
                  <w:r>
                    <w:rPr>
                      <w:color w:val="000000"/>
                      <w:sz w:val="28"/>
                      <w:szCs w:val="28"/>
                    </w:rPr>
                    <w:t>ту отпусков за фактически отработанное время и компенсаций за неиспользованный отпуск, включая платежи на обязательное социальное страхование; 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для оплаты фактически осуществленных затрат, по которым не поступили документы контрагентов;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Каждый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резерв используется только на покрытие тех расходов, в отношении которых он был создан. Признание в учете расходов, в отношении которых сформирован резерв, осуществляется за счет суммы резерва. При его недостаточности соответствующие суммы отражаются в со</w:t>
                  </w:r>
                  <w:r>
                    <w:rPr>
                      <w:color w:val="000000"/>
                      <w:sz w:val="28"/>
                      <w:szCs w:val="28"/>
                    </w:rPr>
                    <w:t>ставе расходов текущего периода. 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Резерв на оплату отпусков определяется исходя из количества дней неиспользованного отпуска по всем муниципальным служащим по состоянию на 01 января года, следующего за отчетным. В число неиспользованных дней отпуска вк</w:t>
                  </w:r>
                  <w:r>
                    <w:rPr>
                      <w:color w:val="000000"/>
                      <w:sz w:val="28"/>
                      <w:szCs w:val="28"/>
                    </w:rPr>
                    <w:t>лючаются только те дни, право на которые муниципальные служащие уже заработали, но не использовали на конец расчетного периода. Списание начисленного резерва для оплаты отпусков осуществляется по каждому приказу о предоставлении отпуска.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Резерв по р</w:t>
                  </w:r>
                  <w:r>
                    <w:rPr>
                      <w:color w:val="000000"/>
                      <w:sz w:val="28"/>
                      <w:szCs w:val="28"/>
                    </w:rPr>
                    <w:t>асходам без документов создается в случае, когда расходы фактически осуществлены, однако по любым причинам соответствующие документы от контрагента не получены. Резерв создается в сумме, отражающей достоверную денежную оценку расходов, необходимых для расч</w:t>
                  </w:r>
                  <w:r>
                    <w:rPr>
                      <w:color w:val="000000"/>
                      <w:sz w:val="28"/>
                      <w:szCs w:val="28"/>
                    </w:rPr>
                    <w:t>етов с контрагентом. Величина создаваемого резерва определяется комиссией по поступлению и выбытию активов. Решение о создании резерва и его сумме оформляется соответствующим протоколом. На основании поступивших от контрагента документов фактические расход</w:t>
                  </w:r>
                  <w:r>
                    <w:rPr>
                      <w:color w:val="000000"/>
                      <w:sz w:val="28"/>
                      <w:szCs w:val="28"/>
                    </w:rPr>
                    <w:t>ы отражаются датой поступления документов от контрагента следующим образом: если сумма фактических расходов меньше величины созданного резерва, то расходы относятся полностью за счет резерва, а оставшаяся величина резерва списывается на уменьшение расходов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текущего финансового года; если сумма фактических расходов превышает величину созданного резерва, то расходы относятся за счет резерва в полной сумме резерва, а оставшаяся величина расходов относится за счет расходов текущего финансового года.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Бюджет</w:t>
                  </w:r>
                  <w:r>
                    <w:rPr>
                      <w:color w:val="000000"/>
                      <w:sz w:val="28"/>
                      <w:szCs w:val="28"/>
                    </w:rPr>
                    <w:t>ные обязательства (принятые, принимаемые, отложенные) принимаются к учету в пределах доведенных лимитов бюджетных обязательств (далее-ЛБО).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Операции по санкционированию обязательств принимаемых, принятых в текущем финансовом году, формируются с учетом прин</w:t>
                  </w:r>
                  <w:r>
                    <w:rPr>
                      <w:color w:val="000000"/>
                      <w:sz w:val="28"/>
                      <w:szCs w:val="28"/>
                    </w:rPr>
                    <w:t>имаемых, принятых и неисполненных обязательств прошлых лет.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В Управлении не используются следующие федеральные стандарты бухгалтерского учета для организаций государственного сектора: «Аренда», «Влияние изменений курсов иностранных валют»; «Концесси</w:t>
                  </w:r>
                  <w:r>
                    <w:rPr>
                      <w:color w:val="000000"/>
                      <w:sz w:val="28"/>
                      <w:szCs w:val="28"/>
                    </w:rPr>
                    <w:t>онные соглашения»; «Долгосрочные договоры», «Непроизведенные активы», «Затраты по заимствованиям»; «Совместная деятельность», «Информация о связанных сторонах». 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       Инвентаризация имущества, финансовых активов и обязательств, в том числе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</w:t>
                  </w:r>
                  <w:r>
                    <w:rPr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счетах  проводится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 в Управлении в утвержденные сроки проведения плановых инвентаризаций. </w:t>
                  </w:r>
                </w:p>
                <w:p w:rsidR="005F72BF" w:rsidRDefault="0090245D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Инвентаризация имущества и обязательств Управления проводилась в два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этапа :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 перед сдачей годового отчета с 01 октября 2024 по 31 декабря 2024</w:t>
                  </w:r>
                  <w:r>
                    <w:rPr>
                      <w:color w:val="000000"/>
                      <w:sz w:val="28"/>
                      <w:szCs w:val="28"/>
                    </w:rPr>
                    <w:t>гг, инвентаризация основных средств , материальных запасов, основных средств в эксплуатации на основании решения о проведении инвентаризации от 30.09.2024 года  № 9 - нарушений не выявлено.</w:t>
                  </w:r>
                </w:p>
                <w:p w:rsidR="005F72BF" w:rsidRDefault="0090245D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Инвентаризация сомнительной задолженности на основании решения о проведении от 29.11.2024 г№10.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отчетном периоде недостач и хищений имущества не выявлено.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Задолженности по ущербу имущества на начало и конец отчетного периода у Управления отсу</w:t>
                  </w:r>
                  <w:r>
                    <w:rPr>
                      <w:color w:val="000000"/>
                      <w:sz w:val="28"/>
                      <w:szCs w:val="28"/>
                    </w:rPr>
                    <w:t>тствует.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На 01.01.2025 г была проведена инвентаризация наличных денежных средств в кассе учреждения, БСО, денежных документов, расчетов с контрагентами, расчетов по поступлениям и резервам 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ОС  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части недвижимости, на основании решения от 28.12.202</w:t>
                  </w:r>
                  <w:r>
                    <w:rPr>
                      <w:color w:val="000000"/>
                      <w:sz w:val="28"/>
                      <w:szCs w:val="28"/>
                    </w:rPr>
                    <w:t>4г № 11.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В Управлении ведется учет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счетах: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- по счету 02 «Материальные ценности на хранении» числятся объекты основных средств,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которые по результатам инвентаризации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не признанные активом и будут числиться до их выбытия на 01.01.</w:t>
                  </w:r>
                  <w:r>
                    <w:rPr>
                      <w:color w:val="000000"/>
                      <w:sz w:val="28"/>
                      <w:szCs w:val="28"/>
                    </w:rPr>
                    <w:t>2025г. остаток составляет 19,00 руб.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- по счету 20 «Задолженность невостребованная кредиторами» отражена задолженность, не подтвержденная документами на списание в сумме 48 160 руб.77коп.</w:t>
                  </w:r>
                </w:p>
                <w:p w:rsidR="005F72BF" w:rsidRDefault="0090245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- по счету 21 «Основные средства в эксплуатации», остаток на 01.01.2025г. составляет 395015 руб.10 коп, отражены основные средства до 3 тыс. руб., а с 2018 год до 10 тыс. руб.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- по счету 27 «Материальные ценности, выданные в личное пользование </w:t>
                  </w:r>
                  <w:r>
                    <w:rPr>
                      <w:color w:val="000000"/>
                      <w:sz w:val="28"/>
                      <w:szCs w:val="28"/>
                    </w:rPr>
                    <w:t>работникам (сотрудникам)» отражены печать для документов, остаток на 01.01.2024г. составляет 1 440 руб.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- по счету 30 «Расчеты по исполнению денежных обязательств через третьих лиц» отражены расчеты по выплате пособий, компенсаций через УФПС Почта Ро</w:t>
                  </w:r>
                  <w:r>
                    <w:rPr>
                      <w:color w:val="000000"/>
                      <w:sz w:val="28"/>
                      <w:szCs w:val="28"/>
                    </w:rPr>
                    <w:t>ссии, остаток на 01.01.2025 г. составляет 0,00 руб.00 коп.</w:t>
                  </w:r>
                </w:p>
                <w:p w:rsidR="005F72BF" w:rsidRDefault="0090245D">
                  <w:pPr>
                    <w:spacing w:after="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-по счету 04 «Сомнительная задолженность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»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остаток на 01.01.2025 г составляет 123 365рублей 26 копеек.</w:t>
                  </w:r>
                </w:p>
              </w:tc>
            </w:tr>
          </w:tbl>
          <w:p w:rsidR="005F72BF" w:rsidRDefault="00902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F72B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5F72BF" w:rsidRDefault="005F72BF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5F72B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F72B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F72B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Самойлов Андрей Евгеньевич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5F72B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2BF" w:rsidRDefault="0090245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5F72B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2BF" w:rsidRDefault="005F72BF">
                  <w:pPr>
                    <w:spacing w:line="1" w:lineRule="auto"/>
                  </w:pPr>
                </w:p>
              </w:tc>
            </w:tr>
            <w:tr w:rsidR="005F72B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5F72B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r>
                          <w:rPr>
                            <w:color w:val="000000"/>
                          </w:rPr>
                          <w:t>Сертификат: 3ADF766E949BF76EC2271103CA1BA461</w:t>
                        </w:r>
                      </w:p>
                      <w:p w:rsidR="005F72BF" w:rsidRDefault="0090245D">
                        <w:r>
                          <w:rPr>
                            <w:color w:val="000000"/>
                          </w:rPr>
                          <w:t>Владелец: Самойлов Андрей Евгеньевич</w:t>
                        </w:r>
                      </w:p>
                      <w:p w:rsidR="005F72BF" w:rsidRDefault="0090245D">
                        <w:r>
                          <w:rPr>
                            <w:color w:val="000000"/>
                          </w:rPr>
                          <w:t>Действителен с 29.01.2025 по 24.04.2026</w:t>
                        </w:r>
                      </w:p>
                    </w:tc>
                  </w:tr>
                </w:tbl>
                <w:p w:rsidR="005F72BF" w:rsidRDefault="005F72BF">
                  <w:pPr>
                    <w:spacing w:line="1" w:lineRule="auto"/>
                  </w:pPr>
                </w:p>
              </w:tc>
            </w:tr>
            <w:tr w:rsidR="005F72B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F72B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Главный бухгалтер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F72B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Дьячкова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Зинаида Ивановна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5F72B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2BF" w:rsidRDefault="0090245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5F72B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2BF" w:rsidRDefault="005F72BF">
                  <w:pPr>
                    <w:spacing w:line="1" w:lineRule="auto"/>
                  </w:pPr>
                </w:p>
              </w:tc>
            </w:tr>
            <w:tr w:rsidR="005F72B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5F72B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r>
                          <w:rPr>
                            <w:color w:val="000000"/>
                          </w:rPr>
                          <w:t>Сертификат: 7810622C8462BF660C94005AC1B20771</w:t>
                        </w:r>
                      </w:p>
                      <w:p w:rsidR="005F72BF" w:rsidRDefault="0090245D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Дьячкова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Зинаида Ивановна</w:t>
                        </w:r>
                      </w:p>
                      <w:p w:rsidR="005F72BF" w:rsidRDefault="0090245D">
                        <w:r>
                          <w:rPr>
                            <w:color w:val="000000"/>
                          </w:rPr>
                          <w:t>Действителен с 08.04.2024 по 02.07.2025</w:t>
                        </w:r>
                      </w:p>
                    </w:tc>
                  </w:tr>
                </w:tbl>
                <w:p w:rsidR="005F72BF" w:rsidRDefault="005F72BF">
                  <w:pPr>
                    <w:spacing w:line="1" w:lineRule="auto"/>
                  </w:pPr>
                </w:p>
              </w:tc>
            </w:tr>
            <w:tr w:rsidR="005F72B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F72B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F72B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Дьячкова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Зинаида Ивановна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5F72B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2BF" w:rsidRDefault="0090245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5F72B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2BF" w:rsidRDefault="005F72BF">
                  <w:pPr>
                    <w:spacing w:line="1" w:lineRule="auto"/>
                  </w:pPr>
                </w:p>
              </w:tc>
            </w:tr>
            <w:tr w:rsidR="005F72B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5F72B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F72BF" w:rsidRDefault="0090245D">
                        <w:r>
                          <w:rPr>
                            <w:color w:val="000000"/>
                          </w:rPr>
                          <w:t>Сертификат: 7810622C8462BF660C94005AC1B20771</w:t>
                        </w:r>
                      </w:p>
                      <w:p w:rsidR="005F72BF" w:rsidRDefault="0090245D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Дьячкова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Зинаида Ивановна</w:t>
                        </w:r>
                      </w:p>
                      <w:p w:rsidR="005F72BF" w:rsidRDefault="0090245D">
                        <w:r>
                          <w:rPr>
                            <w:color w:val="000000"/>
                          </w:rPr>
                          <w:t>Действителен с 08.04.2024 по 02.07.2025</w:t>
                        </w:r>
                      </w:p>
                    </w:tc>
                  </w:tr>
                </w:tbl>
                <w:p w:rsidR="005F72BF" w:rsidRDefault="005F72BF">
                  <w:pPr>
                    <w:spacing w:line="1" w:lineRule="auto"/>
                  </w:pPr>
                </w:p>
              </w:tc>
            </w:tr>
            <w:tr w:rsidR="005F72B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5F72BF">
                  <w:pPr>
                    <w:spacing w:line="1" w:lineRule="auto"/>
                  </w:pP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5F72BF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r>
                    <w:rPr>
                      <w:color w:val="000000"/>
                      <w:sz w:val="28"/>
                      <w:szCs w:val="28"/>
                    </w:rPr>
                    <w:t>23 января 2025 г.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5F72BF" w:rsidRDefault="005F72BF">
      <w:pPr>
        <w:sectPr w:rsidR="005F72BF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5F72BF" w:rsidRDefault="005F72BF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5F72B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Исполнение  доходной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части бюджета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Перечислено межбюджетных трансфертов в пределах сумм для принятие денежных обязательств в 2024 году.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Исполнение  расходной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части бюджета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Расходы  денежных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средств исполнены  полностью 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5F72BF" w:rsidRDefault="005F72BF">
      <w:pPr>
        <w:sectPr w:rsidR="005F72BF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5F72BF" w:rsidRDefault="005F72BF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5F72B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одновременно в иностранной валюте и в рублевом эквиваленте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в иностранной валюте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объект,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уменьшаемого остатка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продукции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Пересчет накопленной амортизации пропорционально изменению первоначальной стоимости объекта основных средств таким образом, чтобы его остаточная </w:t>
            </w:r>
            <w:r>
              <w:rPr>
                <w:color w:val="000000"/>
                <w:sz w:val="28"/>
                <w:szCs w:val="28"/>
              </w:rPr>
              <w:lastRenderedPageBreak/>
              <w:t>стоимость после переоценки равнялась е</w:t>
            </w:r>
            <w:r>
              <w:rPr>
                <w:color w:val="000000"/>
                <w:sz w:val="28"/>
                <w:szCs w:val="28"/>
              </w:rPr>
              <w:t>го переоцененной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каждой единицы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выручки от реализации продукции (работ, услуг)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иному показателю, характеризующему результаты деятельности учреждения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материальным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F72B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2BF" w:rsidRDefault="0090245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иным прямым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5F72BF" w:rsidRDefault="005F72BF">
      <w:pPr>
        <w:sectPr w:rsidR="005F72BF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:rsidR="005F72BF" w:rsidRDefault="005F72BF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5F72B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(юридический/почтовый адрес) 152240 Ярославская обл.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г.Гаврилов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-Ям,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ул.Молодежная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д.1Б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7 52 04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Государственные казенные учреждения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Закон ЯО от 16.12.2009г №70-з "О наделении органов местного самоуправления государственными полномочиями Ярославской области", при организации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исполнения  мероприятий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региональной целевой программы "Государственная поддержка и повышение качества жизни семе</w:t>
            </w:r>
            <w:r>
              <w:rPr>
                <w:i/>
                <w:iCs/>
                <w:color w:val="000000"/>
                <w:sz w:val="28"/>
                <w:szCs w:val="28"/>
              </w:rPr>
              <w:t>й с детьми и граждан старшего поколения в Ярославской области" на 2020-2025 гг.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</w:t>
            </w:r>
            <w:r>
              <w:rPr>
                <w:color w:val="000000"/>
                <w:sz w:val="28"/>
                <w:szCs w:val="28"/>
              </w:rPr>
              <w:t>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полномочий по ведению бюджетного учета иному учреждению </w:t>
            </w:r>
            <w:r>
              <w:rPr>
                <w:color w:val="000000"/>
                <w:sz w:val="28"/>
                <w:szCs w:val="28"/>
              </w:rPr>
              <w:lastRenderedPageBreak/>
              <w:t>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</w:t>
            </w:r>
            <w:r>
              <w:rPr>
                <w:color w:val="000000"/>
                <w:sz w:val="28"/>
                <w:szCs w:val="28"/>
              </w:rPr>
              <w:t>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5F72BF" w:rsidRDefault="005F72BF">
      <w:pPr>
        <w:sectPr w:rsidR="005F72BF">
          <w:headerReference w:type="default" r:id="rId12"/>
          <w:footerReference w:type="default" r:id="rId13"/>
          <w:pgSz w:w="11905" w:h="16837"/>
          <w:pgMar w:top="1133" w:right="566" w:bottom="1133" w:left="1133" w:header="1133" w:footer="1133" w:gutter="0"/>
          <w:cols w:space="720"/>
        </w:sectPr>
      </w:pPr>
    </w:p>
    <w:p w:rsidR="005F72BF" w:rsidRDefault="005F72BF">
      <w:pPr>
        <w:rPr>
          <w:vanish/>
        </w:rPr>
      </w:pPr>
      <w:bookmarkStart w:id="7" w:name="__bookmark_10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5F72B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</w:t>
            </w:r>
            <w:r>
              <w:rPr>
                <w:i/>
                <w:i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2625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техническое </w:t>
            </w:r>
            <w:r>
              <w:rPr>
                <w:i/>
                <w:iCs/>
                <w:color w:val="000000"/>
                <w:sz w:val="28"/>
                <w:szCs w:val="28"/>
              </w:rPr>
              <w:t>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современными техническими средствами, отвечающими требованиям безопасности.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средства, непригодные к эксплуатации в связи с моральным и (или) физическим износом и нецелесообразностью их ремонта, списаны с балансового учета. Взамен приобретены новые объекты основных </w:t>
            </w:r>
            <w:r>
              <w:rPr>
                <w:color w:val="000000"/>
                <w:sz w:val="28"/>
                <w:szCs w:val="28"/>
              </w:rPr>
              <w:t>средств.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фонды субъекта отчетности </w:t>
            </w:r>
            <w:r>
              <w:rPr>
                <w:color w:val="000000"/>
                <w:sz w:val="28"/>
                <w:szCs w:val="28"/>
              </w:rPr>
              <w:lastRenderedPageBreak/>
              <w:t>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Комплекты основных средств полностью соответствуют своим 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техническим характеристикам</w:t>
            </w: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  <w:tr w:rsidR="005F72B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5F72BF" w:rsidRDefault="005F72BF">
      <w:pPr>
        <w:sectPr w:rsidR="005F72BF">
          <w:headerReference w:type="default" r:id="rId14"/>
          <w:footerReference w:type="default" r:id="rId15"/>
          <w:pgSz w:w="11905" w:h="16837"/>
          <w:pgMar w:top="1133" w:right="566" w:bottom="1133" w:left="1133" w:header="1133" w:footer="1133" w:gutter="0"/>
          <w:cols w:space="720"/>
        </w:sectPr>
      </w:pPr>
    </w:p>
    <w:p w:rsidR="005F72BF" w:rsidRDefault="005F72BF">
      <w:pPr>
        <w:rPr>
          <w:vanish/>
        </w:rPr>
      </w:pPr>
      <w:bookmarkStart w:id="8" w:name="__bookmark_11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5F72B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</w:t>
            </w:r>
            <w:r>
              <w:rPr>
                <w:color w:val="000000"/>
                <w:sz w:val="28"/>
                <w:szCs w:val="28"/>
              </w:rPr>
              <w:t>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Реализуется проект по организации услуг по уходу в рамках пилотной организации системы долговременного ухода за гражданами пожилого возраста и инвалидами. Общая сумма финансирования в 2024 году составит 11 225 610,00 рублей, исполнено 11 225 605 руб.09 коп</w:t>
            </w:r>
            <w:r>
              <w:rPr>
                <w:i/>
                <w:iCs/>
                <w:color w:val="000000"/>
                <w:sz w:val="28"/>
                <w:szCs w:val="28"/>
              </w:rPr>
              <w:t>еек.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 состоянию на 1 января 2025 года числятся принятые денежные обязательства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сверх доведенных ЛБО на общую сумму 348 827 руб.64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коп.,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в том числе: -157978,73 руб. заработная плата за декабрь 2024 года ( срок выплаты 14 января) -165992,54 руб. единый налоговый платеж за декабрь 2024 года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налог на доходы физических лиц 23605,00 руб.</w:t>
            </w:r>
            <w:r>
              <w:rPr>
                <w:i/>
                <w:iCs/>
                <w:color w:val="000000"/>
                <w:sz w:val="28"/>
                <w:szCs w:val="28"/>
              </w:rPr>
              <w:t>(п/н за декабрь 2024 г), взносы в ФСС на страхование от несчастного  случая 02% за декабрь 2024 г.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</w:t>
            </w:r>
            <w:r>
              <w:rPr>
                <w:color w:val="000000"/>
                <w:sz w:val="28"/>
                <w:szCs w:val="28"/>
              </w:rPr>
              <w:t>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5F72BF" w:rsidRDefault="005F72BF">
      <w:pPr>
        <w:sectPr w:rsidR="005F72BF">
          <w:headerReference w:type="default" r:id="rId16"/>
          <w:footerReference w:type="default" r:id="rId17"/>
          <w:pgSz w:w="11905" w:h="16837"/>
          <w:pgMar w:top="1133" w:right="566" w:bottom="1133" w:left="1133" w:header="1133" w:footer="1133" w:gutter="0"/>
          <w:cols w:space="720"/>
        </w:sectPr>
      </w:pPr>
    </w:p>
    <w:p w:rsidR="005F72BF" w:rsidRDefault="005F72BF">
      <w:pPr>
        <w:rPr>
          <w:vanish/>
        </w:rPr>
      </w:pPr>
      <w:bookmarkStart w:id="9" w:name="__bookmark_12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5F72BF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5F72B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</w:t>
            </w:r>
            <w:r>
              <w:rPr>
                <w:color w:val="000000"/>
                <w:sz w:val="28"/>
                <w:szCs w:val="28"/>
              </w:rPr>
              <w:t>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 коду причины 06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5F72BF" w:rsidRDefault="005F72BF">
      <w:pPr>
        <w:sectPr w:rsidR="005F72BF">
          <w:headerReference w:type="default" r:id="rId18"/>
          <w:footerReference w:type="default" r:id="rId19"/>
          <w:pgSz w:w="11905" w:h="16837"/>
          <w:pgMar w:top="1133" w:right="566" w:bottom="1133" w:left="1133" w:header="1133" w:footer="1133" w:gutter="0"/>
          <w:cols w:space="720"/>
        </w:sectPr>
      </w:pPr>
    </w:p>
    <w:p w:rsidR="005F72BF" w:rsidRDefault="005F72BF">
      <w:pPr>
        <w:rPr>
          <w:vanish/>
        </w:rPr>
      </w:pPr>
      <w:bookmarkStart w:id="10" w:name="__bookmark_17"/>
      <w:bookmarkEnd w:id="1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5F72BF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5F72B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5F72BF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5F72B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F72B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о проведении инвентаризации № 9 от 30.09.2024г.  Расхождений между данными бухучета и фактическим наличием не выявлено.</w:t>
            </w:r>
          </w:p>
        </w:tc>
      </w:tr>
      <w:tr w:rsidR="005F72B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</w:t>
            </w:r>
            <w:r>
              <w:rPr>
                <w:color w:val="000000"/>
                <w:sz w:val="28"/>
                <w:szCs w:val="28"/>
              </w:rPr>
              <w:t>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ф. 0503166 «Сведения об исполнении мероприятий в рамках целевых программ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ф. 0503167 «Сведения о целевых иностранных </w:t>
            </w:r>
            <w:r>
              <w:rPr>
                <w:i/>
                <w:iCs/>
                <w:color w:val="000000"/>
                <w:sz w:val="28"/>
                <w:szCs w:val="28"/>
              </w:rPr>
              <w:t>кредитах»;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ф. 0503172 «Сведения о государственном (муниципальном) долге, предоставленных бюджетных кредитах»;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ф. 0503173_3 «Сведения об изменении остатков валюты баланса. Средства во временном распоряжении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ф. 0503174 «Сведения о доходах бюджета от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перечисления части прибыли (дивидендов) государственных (муниципальных) унитарных предприятий, иных организаций с государственным участием в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капитале»;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ф. 0503175 «Сведения о принятых и неисполненных обязательствах получателя бюджетных средств»;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ф. 050</w:t>
            </w:r>
            <w:r>
              <w:rPr>
                <w:i/>
                <w:iCs/>
                <w:color w:val="000000"/>
                <w:sz w:val="28"/>
                <w:szCs w:val="28"/>
              </w:rPr>
              <w:t>178_1 «Сведения об остатках денежных средств на счетах ПБС. Бюджетная деятельность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ab/>
              <w:t>ф. 050178_3 «Сведения об остатках денежных средств на счетах ПБС. Средства во временном распоряжении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ab/>
              <w:t>ф. 0503184 «Справка о суммах консолидируемых поступлений, подлеж</w:t>
            </w:r>
            <w:r>
              <w:rPr>
                <w:i/>
                <w:iCs/>
                <w:color w:val="000000"/>
                <w:sz w:val="28"/>
                <w:szCs w:val="28"/>
              </w:rPr>
              <w:t>ащих зачислению на счета бюджета»;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ф. 0503190 «Сведения о вложениях в объекты недвижимого имущества, объектах незавершенного строительства»;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ф. 0503296 «Сведения об исполнении судебных решений по денежным обязательствам бюджета».</w:t>
            </w:r>
          </w:p>
        </w:tc>
      </w:tr>
      <w:tr w:rsidR="005F72B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2BF" w:rsidRDefault="005F72BF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  <w:jc w:val="center"/>
            </w:pPr>
          </w:p>
        </w:tc>
      </w:tr>
      <w:tr w:rsidR="005F72B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9024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F72BF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2BF" w:rsidRDefault="005F72BF">
            <w:pPr>
              <w:spacing w:line="1" w:lineRule="auto"/>
            </w:pPr>
          </w:p>
        </w:tc>
      </w:tr>
    </w:tbl>
    <w:p w:rsidR="0090245D" w:rsidRDefault="0090245D"/>
    <w:sectPr w:rsidR="0090245D" w:rsidSect="005F72BF">
      <w:headerReference w:type="default" r:id="rId20"/>
      <w:footerReference w:type="default" r:id="rId21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5D" w:rsidRDefault="0090245D" w:rsidP="005F72BF">
      <w:r>
        <w:separator/>
      </w:r>
    </w:p>
  </w:endnote>
  <w:endnote w:type="continuationSeparator" w:id="0">
    <w:p w:rsidR="0090245D" w:rsidRDefault="0090245D" w:rsidP="005F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5D" w:rsidRDefault="0090245D" w:rsidP="005F72BF">
      <w:r>
        <w:separator/>
      </w:r>
    </w:p>
  </w:footnote>
  <w:footnote w:type="continuationSeparator" w:id="0">
    <w:p w:rsidR="0090245D" w:rsidRDefault="0090245D" w:rsidP="005F7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F72BF">
      <w:trPr>
        <w:trHeight w:val="56"/>
      </w:trPr>
      <w:tc>
        <w:tcPr>
          <w:tcW w:w="10421" w:type="dxa"/>
        </w:tcPr>
        <w:p w:rsidR="005F72BF" w:rsidRDefault="005F72B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BF"/>
    <w:rsid w:val="005F72BF"/>
    <w:rsid w:val="0090245D"/>
    <w:rsid w:val="00D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F7E58-A04E-402F-9B73-E90870C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F7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7438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</dc:creator>
  <cp:keywords/>
  <dc:description/>
  <cp:lastModifiedBy>Viktoriy</cp:lastModifiedBy>
  <cp:revision>2</cp:revision>
  <dcterms:created xsi:type="dcterms:W3CDTF">2025-04-21T13:50:00Z</dcterms:created>
  <dcterms:modified xsi:type="dcterms:W3CDTF">2025-04-21T13:50:00Z</dcterms:modified>
</cp:coreProperties>
</file>