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AD7768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 w:rsidR="007F1FD0">
        <w:rPr>
          <w:rFonts w:ascii="Times New Roman" w:hAnsi="Times New Roman" w:cs="Times New Roman"/>
          <w:sz w:val="28"/>
          <w:szCs w:val="28"/>
        </w:rPr>
        <w:t xml:space="preserve">8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</w:t>
      </w:r>
      <w:proofErr w:type="gramStart"/>
      <w:r w:rsidRPr="001809DA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809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94D">
        <w:rPr>
          <w:rFonts w:ascii="Times New Roman" w:eastAsia="Times New Roman" w:hAnsi="Times New Roman" w:cs="Times New Roman"/>
          <w:sz w:val="28"/>
          <w:szCs w:val="28"/>
        </w:rPr>
        <w:t>В целях оптимиз</w:t>
      </w:r>
      <w:bookmarkStart w:id="0" w:name="_GoBack"/>
      <w:bookmarkEnd w:id="0"/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от </w:t>
      </w:r>
      <w:r w:rsidR="007F1FD0" w:rsidRPr="00AD77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7A08" w:rsidRPr="00AD77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77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A08" w:rsidRPr="00AD77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44FA6" w:rsidRPr="00AD776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F1FD0" w:rsidRPr="00AD776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FA6" w:rsidRPr="00AD776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F1FD0" w:rsidRPr="00AD77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7A08" w:rsidRPr="00AD7768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59794D">
        <w:rPr>
          <w:rFonts w:ascii="Times New Roman" w:eastAsia="Times New Roman" w:hAnsi="Times New Roman" w:cs="Times New Roman"/>
          <w:bCs/>
          <w:sz w:val="28"/>
          <w:szCs w:val="28"/>
        </w:rPr>
        <w:t>внесении  изменений в решение Собрания представителей Гаврилов-Ямского муниципального района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 xml:space="preserve"> 88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«О бюджете Гаврилов – Ямского муниципального района на 2017 год и на плановый период 2018-2019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 xml:space="preserve">«Развитие сферы культуры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Г.Н. Билялова</w:t>
      </w: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5979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lastRenderedPageBreak/>
              <w:t>Наименование  подпрограммы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D47829">
            <w:pPr>
              <w:keepNext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853C67">
              <w:rPr>
                <w:sz w:val="24"/>
                <w:szCs w:val="24"/>
              </w:rPr>
              <w:t>Гаврилов-Ямского</w:t>
            </w:r>
            <w:proofErr w:type="gramEnd"/>
            <w:r w:rsidRPr="00853C67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 xml:space="preserve">Ответственный исполнитель подпрограммы 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853C67" w:rsidTr="0059794D">
        <w:trPr>
          <w:trHeight w:val="185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Соисполнители 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853C67">
              <w:rPr>
                <w:sz w:val="24"/>
                <w:szCs w:val="24"/>
              </w:rPr>
              <w:t>Гаврилов-Ямского</w:t>
            </w:r>
            <w:proofErr w:type="gramEnd"/>
            <w:r w:rsidRPr="00853C67">
              <w:rPr>
                <w:sz w:val="24"/>
                <w:szCs w:val="24"/>
              </w:rPr>
              <w:t xml:space="preserve"> муниципального района;</w:t>
            </w:r>
          </w:p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культуры «Гаврилов-</w:t>
            </w:r>
            <w:proofErr w:type="spellStart"/>
            <w:r w:rsidRPr="00853C67">
              <w:rPr>
                <w:sz w:val="24"/>
                <w:szCs w:val="24"/>
              </w:rPr>
              <w:t>Ямскаямежпоселенческая</w:t>
            </w:r>
            <w:proofErr w:type="spellEnd"/>
            <w:r w:rsidRPr="00853C67">
              <w:rPr>
                <w:sz w:val="24"/>
                <w:szCs w:val="24"/>
              </w:rPr>
              <w:t xml:space="preserve"> центральная библиотека-музей»;</w:t>
            </w:r>
          </w:p>
          <w:p w:rsidR="00E44959" w:rsidRPr="00853C67" w:rsidRDefault="00E44959" w:rsidP="00985171">
            <w:pPr>
              <w:pStyle w:val="a9"/>
              <w:keepNext/>
              <w:ind w:left="0"/>
            </w:pPr>
            <w:r w:rsidRPr="00853C67">
              <w:t xml:space="preserve">Муниципальное бюджетное учреждение </w:t>
            </w:r>
            <w:r w:rsidR="00985171" w:rsidRPr="00853C67">
              <w:t>д</w:t>
            </w:r>
            <w:r w:rsidRPr="00853C67">
              <w:t>ополнительного обра</w:t>
            </w:r>
            <w:r w:rsidR="003F2774" w:rsidRPr="00853C67">
              <w:t>зования  Детская школа искусств;</w:t>
            </w:r>
          </w:p>
          <w:p w:rsidR="003F2774" w:rsidRPr="00853C67" w:rsidRDefault="003F2774" w:rsidP="00985171">
            <w:pPr>
              <w:pStyle w:val="a9"/>
              <w:keepNext/>
              <w:ind w:left="0"/>
            </w:pPr>
            <w:r w:rsidRPr="00853C67">
              <w:t xml:space="preserve">Муниципальное учреждение «Централизованная бухгалтерия учреждений культуры и молодёжной политики </w:t>
            </w:r>
            <w:proofErr w:type="gramStart"/>
            <w:r w:rsidRPr="00853C67">
              <w:t>Гаврилов-Ямского</w:t>
            </w:r>
            <w:proofErr w:type="gramEnd"/>
            <w:r w:rsidRPr="00853C67">
              <w:t xml:space="preserve"> муниципального района»</w:t>
            </w:r>
          </w:p>
        </w:tc>
      </w:tr>
      <w:tr w:rsidR="00E44959" w:rsidRPr="00853C67" w:rsidTr="0059794D">
        <w:trPr>
          <w:trHeight w:val="1162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Цели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 - </w:t>
            </w:r>
            <w:r w:rsidR="00544FA6" w:rsidRPr="00853C67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853C67" w:rsidTr="0059794D">
        <w:trPr>
          <w:trHeight w:val="1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Задачи подпрограммы</w:t>
            </w:r>
          </w:p>
        </w:tc>
        <w:tc>
          <w:tcPr>
            <w:tcW w:w="6379" w:type="dxa"/>
          </w:tcPr>
          <w:p w:rsidR="00C478F5" w:rsidRPr="00853C67" w:rsidRDefault="00C478F5" w:rsidP="00CD127C">
            <w:pPr>
              <w:pStyle w:val="a9"/>
              <w:ind w:left="0"/>
            </w:pPr>
            <w:r w:rsidRPr="00853C67">
              <w:t>- обеспечение деятельности муниципальных бюджетных учреждений сферы культура;</w:t>
            </w:r>
          </w:p>
          <w:p w:rsidR="00C478F5" w:rsidRPr="00853C67" w:rsidRDefault="00C478F5" w:rsidP="00CD127C">
            <w:pPr>
              <w:pStyle w:val="a9"/>
              <w:ind w:left="0"/>
            </w:pPr>
            <w:r w:rsidRPr="00853C67">
              <w:t>- организация и проведение районных культурно-массовых мероприятий.</w:t>
            </w:r>
          </w:p>
        </w:tc>
      </w:tr>
      <w:tr w:rsidR="00C478F5" w:rsidRPr="00853C67" w:rsidTr="0059794D">
        <w:trPr>
          <w:trHeight w:val="848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proofErr w:type="gramStart"/>
            <w:r w:rsidRPr="00853C6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853C67" w:rsidRDefault="00C478F5" w:rsidP="00C478F5">
            <w:pPr>
              <w:pStyle w:val="a9"/>
              <w:keepNext/>
              <w:ind w:left="0"/>
            </w:pPr>
            <w:r w:rsidRPr="00853C67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853C67" w:rsidTr="0059794D"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853C67" w:rsidRDefault="00FF7808" w:rsidP="003F2733">
            <w:pPr>
              <w:pStyle w:val="a9"/>
              <w:keepNext/>
              <w:ind w:left="0"/>
            </w:pPr>
            <w:r w:rsidRPr="00853C67">
              <w:t>2015-2019</w:t>
            </w:r>
            <w:r w:rsidR="00C478F5" w:rsidRPr="00853C67">
              <w:t>гг.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Объемы и источники финансирования  подпрограммы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Общий объем финансирования –  </w:t>
            </w:r>
            <w:r w:rsidR="00E97131" w:rsidRPr="00853C67">
              <w:t>1</w:t>
            </w:r>
            <w:r w:rsidR="008344DB" w:rsidRPr="00853C67">
              <w:t>6</w:t>
            </w:r>
            <w:r w:rsidR="00847A08" w:rsidRPr="00853C67">
              <w:t>3</w:t>
            </w:r>
            <w:r w:rsidR="00D47829" w:rsidRPr="00853C67">
              <w:t xml:space="preserve"> </w:t>
            </w:r>
            <w:r w:rsidR="00847A08" w:rsidRPr="00853C67">
              <w:t>054</w:t>
            </w:r>
            <w:r w:rsidR="00D47829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32 697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C8490F" w:rsidRPr="00853C67">
              <w:t>30</w:t>
            </w:r>
            <w:r w:rsidR="00E97131" w:rsidRPr="00853C67">
              <w:t> </w:t>
            </w:r>
            <w:r w:rsidR="003F2774" w:rsidRPr="00853C67">
              <w:t>35</w:t>
            </w:r>
            <w:r w:rsidR="00776E3E" w:rsidRPr="00853C67">
              <w:t>2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D47829" w:rsidRPr="00853C67">
              <w:t>30</w:t>
            </w:r>
            <w:r w:rsidRPr="00853C67">
              <w:t> </w:t>
            </w:r>
            <w:r w:rsidR="00D47829" w:rsidRPr="00853C67">
              <w:t>381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>2018</w:t>
            </w:r>
            <w:r w:rsidR="00544FA6" w:rsidRPr="00853C67">
              <w:t xml:space="preserve"> – </w:t>
            </w:r>
            <w:r w:rsidR="00D47829" w:rsidRPr="00853C67">
              <w:t>3</w:t>
            </w:r>
            <w:r w:rsidR="00847A08" w:rsidRPr="00853C67">
              <w:t>7</w:t>
            </w:r>
            <w:r w:rsidR="00D47829" w:rsidRPr="00853C67">
              <w:t xml:space="preserve"> </w:t>
            </w:r>
            <w:r w:rsidR="00847A08" w:rsidRPr="00853C67">
              <w:t>592</w:t>
            </w:r>
          </w:p>
          <w:p w:rsidR="00DD6E54" w:rsidRPr="00853C67" w:rsidRDefault="00DD6E54" w:rsidP="00544FA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D47829" w:rsidRPr="00853C67">
              <w:t>21 317*</w:t>
            </w:r>
          </w:p>
          <w:p w:rsidR="00D47829" w:rsidRPr="00853C67" w:rsidRDefault="00D47829" w:rsidP="00D47829">
            <w:pPr>
              <w:pStyle w:val="a9"/>
              <w:keepNext/>
              <w:ind w:left="0"/>
            </w:pPr>
            <w:r w:rsidRPr="00853C67">
              <w:t>2020 - 10 715*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из них: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бюджет муниципального района – </w:t>
            </w:r>
            <w:r w:rsidR="00D47829" w:rsidRPr="00853C67">
              <w:t>1</w:t>
            </w:r>
            <w:r w:rsidR="009D7486" w:rsidRPr="00853C67">
              <w:t>44</w:t>
            </w:r>
            <w:r w:rsidR="00D47829" w:rsidRPr="00853C67">
              <w:t xml:space="preserve"> </w:t>
            </w:r>
            <w:r w:rsidR="008344DB" w:rsidRPr="00853C67">
              <w:t>9</w:t>
            </w:r>
            <w:r w:rsidR="00847A08" w:rsidRPr="00853C67">
              <w:t>32</w:t>
            </w:r>
            <w:r w:rsidR="00D47829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31 048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>2016 – 27</w:t>
            </w:r>
            <w:r w:rsidR="00E97131" w:rsidRPr="00853C67">
              <w:t> </w:t>
            </w:r>
            <w:r w:rsidR="00DD6E54" w:rsidRPr="00853C67">
              <w:t>4</w:t>
            </w:r>
            <w:r w:rsidR="003F2774" w:rsidRPr="00853C67">
              <w:t>7</w:t>
            </w:r>
            <w:r w:rsidR="00716974" w:rsidRPr="00853C67">
              <w:t>2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>2017 – 2</w:t>
            </w:r>
            <w:r w:rsidR="00716974" w:rsidRPr="00853C67">
              <w:t>5</w:t>
            </w:r>
            <w:r w:rsidRPr="00853C67">
              <w:t> </w:t>
            </w:r>
            <w:r w:rsidR="00D47829" w:rsidRPr="00853C67">
              <w:t>414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344DB" w:rsidRPr="00853C67">
              <w:t>30</w:t>
            </w:r>
            <w:r w:rsidR="00D47829" w:rsidRPr="00853C67">
              <w:t xml:space="preserve"> </w:t>
            </w:r>
            <w:r w:rsidR="008344DB" w:rsidRPr="00853C67">
              <w:t>84</w:t>
            </w:r>
            <w:r w:rsidR="00847A08" w:rsidRPr="00853C67">
              <w:t>6</w:t>
            </w:r>
          </w:p>
          <w:p w:rsidR="00E97131" w:rsidRPr="00853C67" w:rsidRDefault="00E97131" w:rsidP="00D47829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D47829" w:rsidRPr="00853C67">
              <w:t>20 377*</w:t>
            </w:r>
          </w:p>
          <w:p w:rsidR="00D47829" w:rsidRPr="00853C67" w:rsidRDefault="00D47829" w:rsidP="00D47829">
            <w:pPr>
              <w:pStyle w:val="a9"/>
              <w:keepNext/>
              <w:ind w:left="0"/>
            </w:pPr>
            <w:r w:rsidRPr="00853C67">
              <w:lastRenderedPageBreak/>
              <w:t>2020 - 9 775*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областной бюджет – </w:t>
            </w:r>
            <w:r w:rsidR="00847A08" w:rsidRPr="00853C67">
              <w:t>10</w:t>
            </w:r>
            <w:r w:rsidR="00D47829" w:rsidRPr="00853C67">
              <w:t xml:space="preserve"> </w:t>
            </w:r>
            <w:r w:rsidR="00847A08" w:rsidRPr="00853C67">
              <w:t>560</w:t>
            </w:r>
            <w:r w:rsidR="009D7486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174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1 589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3</w:t>
            </w:r>
            <w:r w:rsidR="003F2774" w:rsidRPr="00853C67">
              <w:t xml:space="preserve"> </w:t>
            </w:r>
            <w:r w:rsidR="009D7486" w:rsidRPr="00853C67">
              <w:t>585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5</w:t>
            </w:r>
            <w:r w:rsidR="009D7486" w:rsidRPr="00853C67">
              <w:t xml:space="preserve"> </w:t>
            </w:r>
            <w:r w:rsidR="00847A08" w:rsidRPr="00853C67">
              <w:t>212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  <w:r w:rsidR="00716974" w:rsidRPr="00853C67">
              <w:t>*</w:t>
            </w:r>
          </w:p>
          <w:p w:rsidR="009D7486" w:rsidRPr="00853C67" w:rsidRDefault="009D7486" w:rsidP="009D7486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федеральный бюджет – </w:t>
            </w:r>
            <w:r w:rsidR="00847A08" w:rsidRPr="00853C67">
              <w:t>90</w:t>
            </w:r>
            <w:r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2015 – 44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13</w:t>
            </w:r>
            <w:r w:rsidRPr="00853C67">
              <w:t xml:space="preserve"> 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14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  <w:r w:rsidR="00716974" w:rsidRPr="00853C67">
              <w:t>*</w:t>
            </w:r>
          </w:p>
          <w:p w:rsidR="009D7486" w:rsidRPr="00853C67" w:rsidRDefault="009D7486" w:rsidP="00716974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Внебюджетные источники – </w:t>
            </w:r>
            <w:r w:rsidR="009D7486" w:rsidRPr="00853C67">
              <w:t>7 4</w:t>
            </w:r>
            <w:r w:rsidR="00847A08" w:rsidRPr="00853C67">
              <w:t>72</w:t>
            </w:r>
            <w:r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1431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</w:t>
            </w:r>
            <w:r w:rsidR="005B6B8A" w:rsidRPr="00853C67">
              <w:t>272</w:t>
            </w:r>
          </w:p>
          <w:p w:rsidR="00E97131" w:rsidRPr="00853C67" w:rsidRDefault="005B6B8A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1 369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9D7486" w:rsidRPr="00853C67">
              <w:t xml:space="preserve">1 </w:t>
            </w:r>
            <w:r w:rsidR="00847A08" w:rsidRPr="00853C67">
              <w:t>520</w:t>
            </w:r>
          </w:p>
          <w:p w:rsidR="00E97131" w:rsidRPr="00853C67" w:rsidRDefault="00E97131" w:rsidP="009D748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9D7486" w:rsidRPr="00853C67">
              <w:t>9</w:t>
            </w:r>
            <w:r w:rsidRPr="00853C67">
              <w:t>40</w:t>
            </w:r>
            <w:r w:rsidR="00716974" w:rsidRPr="00853C67">
              <w:t>*</w:t>
            </w:r>
          </w:p>
          <w:p w:rsidR="009D7486" w:rsidRPr="00853C67" w:rsidRDefault="009D7486" w:rsidP="009D7486">
            <w:pPr>
              <w:pStyle w:val="a9"/>
              <w:keepNext/>
              <w:ind w:left="0"/>
            </w:pPr>
            <w:r w:rsidRPr="00853C67">
              <w:t>2020 - 940*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Контактные лица</w:t>
            </w:r>
          </w:p>
        </w:tc>
        <w:tc>
          <w:tcPr>
            <w:tcW w:w="6379" w:type="dxa"/>
          </w:tcPr>
          <w:p w:rsidR="009D7486" w:rsidRPr="00853C67" w:rsidRDefault="009D7486" w:rsidP="003F2733">
            <w:pPr>
              <w:pStyle w:val="a9"/>
              <w:keepNext/>
              <w:ind w:left="0"/>
              <w:rPr>
                <w:i/>
              </w:rPr>
            </w:pPr>
            <w:proofErr w:type="spellStart"/>
            <w:r w:rsidRPr="00853C67">
              <w:rPr>
                <w:i/>
              </w:rPr>
              <w:t>Шершебкова</w:t>
            </w:r>
            <w:proofErr w:type="spellEnd"/>
            <w:r w:rsidRPr="00853C67">
              <w:rPr>
                <w:i/>
              </w:rPr>
              <w:t xml:space="preserve"> Виктория Олеговн</w:t>
            </w:r>
            <w:r w:rsidR="004D42A7" w:rsidRPr="00853C67">
              <w:rPr>
                <w:i/>
              </w:rPr>
              <w:t>а</w:t>
            </w:r>
            <w:r w:rsidR="00C478F5" w:rsidRPr="00853C67">
              <w:rPr>
                <w:i/>
              </w:rPr>
              <w:t>,</w:t>
            </w:r>
          </w:p>
          <w:p w:rsidR="00C478F5" w:rsidRPr="00853C67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 xml:space="preserve">зам. нач. </w:t>
            </w:r>
            <w:r w:rsidR="00C478F5" w:rsidRPr="00853C67">
              <w:rPr>
                <w:i/>
              </w:rPr>
              <w:t xml:space="preserve">Управления КТС и МП </w:t>
            </w:r>
            <w:r w:rsidR="009D7486" w:rsidRPr="00853C67">
              <w:rPr>
                <w:i/>
              </w:rPr>
              <w:t xml:space="preserve"> т.</w:t>
            </w:r>
            <w:r w:rsidR="00C478F5" w:rsidRPr="00853C67">
              <w:rPr>
                <w:i/>
              </w:rPr>
              <w:t>2-3</w:t>
            </w:r>
            <w:r w:rsidRPr="00853C67">
              <w:rPr>
                <w:i/>
              </w:rPr>
              <w:t>6</w:t>
            </w:r>
            <w:r w:rsidR="00C478F5" w:rsidRPr="00853C67">
              <w:rPr>
                <w:i/>
              </w:rPr>
              <w:t>-</w:t>
            </w:r>
            <w:r w:rsidRPr="00853C67">
              <w:rPr>
                <w:i/>
              </w:rPr>
              <w:t>51</w:t>
            </w:r>
          </w:p>
          <w:p w:rsidR="00C478F5" w:rsidRPr="00853C67" w:rsidRDefault="00C478F5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(ФИО, должность, телефон)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целей стратегического развития сферы культуры района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реализуется Управлением культуры, туризма, спорта и молодёжной политики Администрации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  <w:proofErr w:type="gramEnd"/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, в том числе в городской черте – 1,1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. Административный центр района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аврилов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-Ям располагается на обоих берегах реки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Которосль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>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2016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1,2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3"/>
        <w:gridCol w:w="991"/>
        <w:gridCol w:w="993"/>
        <w:gridCol w:w="849"/>
        <w:gridCol w:w="853"/>
        <w:gridCol w:w="708"/>
        <w:gridCol w:w="851"/>
        <w:gridCol w:w="851"/>
        <w:gridCol w:w="851"/>
        <w:gridCol w:w="706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учрежде-ниях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КДУ в 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конкурсах, фестивалях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Количество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</w:t>
            </w:r>
            <w:proofErr w:type="spellStart"/>
            <w:r w:rsidRPr="00E44959">
              <w:rPr>
                <w:bCs/>
                <w:sz w:val="24"/>
                <w:szCs w:val="24"/>
              </w:rPr>
              <w:t>тыс.руб</w:t>
            </w:r>
            <w:proofErr w:type="spellEnd"/>
            <w:r w:rsidRPr="00E44959">
              <w:rPr>
                <w:bCs/>
                <w:sz w:val="24"/>
                <w:szCs w:val="24"/>
              </w:rPr>
              <w:t>.)</w:t>
            </w:r>
          </w:p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E44959">
              <w:rPr>
                <w:bCs/>
                <w:sz w:val="24"/>
                <w:szCs w:val="24"/>
              </w:rPr>
              <w:t>т.ч</w:t>
            </w:r>
            <w:proofErr w:type="spellEnd"/>
            <w:r w:rsidRPr="00E44959">
              <w:rPr>
                <w:bCs/>
                <w:sz w:val="24"/>
                <w:szCs w:val="24"/>
              </w:rPr>
              <w:t>. по годам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3C7A95" w:rsidRPr="00CD6E48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2018*</w:t>
            </w:r>
          </w:p>
        </w:tc>
        <w:tc>
          <w:tcPr>
            <w:tcW w:w="960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2019*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2020*</w:t>
            </w:r>
          </w:p>
        </w:tc>
      </w:tr>
      <w:tr w:rsidR="003C7A95" w:rsidRPr="00E44959" w:rsidTr="000C1FCC">
        <w:tc>
          <w:tcPr>
            <w:tcW w:w="674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847A0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1</w:t>
            </w:r>
            <w:r w:rsidR="008344DB" w:rsidRPr="00847A08">
              <w:rPr>
                <w:bCs/>
                <w:sz w:val="24"/>
                <w:szCs w:val="24"/>
              </w:rPr>
              <w:t>6</w:t>
            </w:r>
            <w:r w:rsidR="007E5A7D">
              <w:rPr>
                <w:bCs/>
                <w:sz w:val="24"/>
                <w:szCs w:val="24"/>
              </w:rPr>
              <w:t>3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7E5A7D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847A08" w:rsidRDefault="003C7A95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847A08">
              <w:rPr>
                <w:bCs/>
                <w:sz w:val="24"/>
                <w:szCs w:val="24"/>
              </w:rPr>
              <w:t>7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847A08">
              <w:rPr>
                <w:bCs/>
                <w:sz w:val="24"/>
                <w:szCs w:val="24"/>
              </w:rPr>
              <w:t>592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21 317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10 715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847A0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144 </w:t>
            </w:r>
            <w:r w:rsidR="008344DB" w:rsidRPr="00847A08">
              <w:rPr>
                <w:bCs/>
                <w:sz w:val="24"/>
                <w:szCs w:val="24"/>
              </w:rPr>
              <w:t>9</w:t>
            </w:r>
            <w:r w:rsidR="007E5A7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847A08" w:rsidRDefault="008344DB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30</w:t>
            </w:r>
            <w:r w:rsidR="003C7A95" w:rsidRPr="00847A08">
              <w:rPr>
                <w:bCs/>
                <w:sz w:val="24"/>
                <w:szCs w:val="24"/>
              </w:rPr>
              <w:t xml:space="preserve"> </w:t>
            </w:r>
            <w:r w:rsidRPr="00847A08">
              <w:rPr>
                <w:bCs/>
                <w:sz w:val="24"/>
                <w:szCs w:val="24"/>
              </w:rPr>
              <w:t>84</w:t>
            </w:r>
            <w:r w:rsidR="00847A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20 377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9 775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E4495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E4495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000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47A08" w:rsidRDefault="007E5A7D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C1FCC" w:rsidRPr="00847A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560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847A08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847A08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847A08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CD6E4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7 4</w:t>
            </w:r>
            <w:r w:rsidR="007E5A7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847A08" w:rsidRDefault="003C7A95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 </w:t>
            </w:r>
            <w:r w:rsidR="007E5A7D">
              <w:rPr>
                <w:bCs/>
                <w:sz w:val="24"/>
                <w:szCs w:val="24"/>
              </w:rPr>
              <w:t>520</w:t>
            </w:r>
          </w:p>
        </w:tc>
        <w:tc>
          <w:tcPr>
            <w:tcW w:w="960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увеличении количества фестивалей, конкурсов, других культурных программ,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</w:t>
      </w:r>
      <w:proofErr w:type="spellStart"/>
      <w:r w:rsidRPr="00E44959">
        <w:rPr>
          <w:rFonts w:ascii="Times New Roman" w:hAnsi="Times New Roman" w:cs="Times New Roman"/>
          <w:sz w:val="24"/>
          <w:szCs w:val="24"/>
          <w:u w:val="single"/>
        </w:rPr>
        <w:t>искусстваи</w:t>
      </w:r>
      <w:proofErr w:type="spellEnd"/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</w:t>
      </w:r>
      <w:proofErr w:type="spellStart"/>
      <w:r>
        <w:t>тыс.руб</w:t>
      </w:r>
      <w:proofErr w:type="spellEnd"/>
      <w:r>
        <w:t>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83"/>
        <w:gridCol w:w="1619"/>
        <w:gridCol w:w="1465"/>
        <w:gridCol w:w="1029"/>
        <w:gridCol w:w="1274"/>
        <w:gridCol w:w="1135"/>
        <w:gridCol w:w="1132"/>
        <w:gridCol w:w="993"/>
        <w:gridCol w:w="1135"/>
        <w:gridCol w:w="1099"/>
        <w:gridCol w:w="1453"/>
      </w:tblGrid>
      <w:tr w:rsidR="007A2030" w:rsidRPr="004D42A7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4D42A7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4D42A7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4D42A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4D42A7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853C6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7A2030" w:rsidRPr="004D42A7" w:rsidTr="00A76705">
        <w:tc>
          <w:tcPr>
            <w:tcW w:w="27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2019*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4D42A7" w:rsidTr="00A76705">
        <w:tc>
          <w:tcPr>
            <w:tcW w:w="270" w:type="pc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57 062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4D42A7" w:rsidRDefault="00A76705" w:rsidP="00C63AE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C63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12 144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C63AE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C63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9 043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7 067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3 140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7E5A7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D2025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</w:t>
            </w: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7 065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2 471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1 780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7E5A7D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7E5A7D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A7670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7B62FF" w:rsidRPr="007B62FF" w:rsidRDefault="007B62FF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</w:t>
            </w:r>
            <w:proofErr w:type="spellStart"/>
            <w:r w:rsidRPr="007B62F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535" w:type="pct"/>
            <w:shd w:val="clear" w:color="auto" w:fill="auto"/>
          </w:tcPr>
          <w:p w:rsidR="007B62FF" w:rsidRPr="004D42A7" w:rsidRDefault="007B62FF" w:rsidP="0038173C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B62FF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144 6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20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</w:t>
            </w:r>
          </w:p>
          <w:p w:rsidR="007B62FF" w:rsidRPr="007E5A7D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7B62FF" w:rsidRPr="004D42A7" w:rsidRDefault="007B62FF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30 84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21317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20377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10715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9 775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A7670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144 9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7 4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  <w:p w:rsidR="007B62FF" w:rsidRPr="004D42A7" w:rsidRDefault="007B62FF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21 317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20 377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  <w:p w:rsidR="007B62FF" w:rsidRPr="004D42A7" w:rsidRDefault="007B62FF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10 715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9 775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2" w:rsidRDefault="00272902" w:rsidP="0059794D">
      <w:pPr>
        <w:spacing w:after="0" w:line="240" w:lineRule="auto"/>
      </w:pPr>
      <w:r>
        <w:separator/>
      </w:r>
    </w:p>
  </w:endnote>
  <w:endnote w:type="continuationSeparator" w:id="0">
    <w:p w:rsidR="00272902" w:rsidRDefault="00272902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2" w:rsidRDefault="00272902" w:rsidP="0059794D">
      <w:pPr>
        <w:spacing w:after="0" w:line="240" w:lineRule="auto"/>
      </w:pPr>
      <w:r>
        <w:separator/>
      </w:r>
    </w:p>
  </w:footnote>
  <w:footnote w:type="continuationSeparator" w:id="0">
    <w:p w:rsidR="00272902" w:rsidRDefault="00272902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A"/>
    <w:rsid w:val="00005975"/>
    <w:rsid w:val="000067F9"/>
    <w:rsid w:val="00010673"/>
    <w:rsid w:val="0003565F"/>
    <w:rsid w:val="00051D88"/>
    <w:rsid w:val="00064356"/>
    <w:rsid w:val="00097B65"/>
    <w:rsid w:val="000A34AA"/>
    <w:rsid w:val="000A69A4"/>
    <w:rsid w:val="000C1FCC"/>
    <w:rsid w:val="000C58F1"/>
    <w:rsid w:val="000D595F"/>
    <w:rsid w:val="000F41D4"/>
    <w:rsid w:val="000F6D48"/>
    <w:rsid w:val="001026FA"/>
    <w:rsid w:val="00106151"/>
    <w:rsid w:val="001108D6"/>
    <w:rsid w:val="00122CCD"/>
    <w:rsid w:val="00142842"/>
    <w:rsid w:val="001449CE"/>
    <w:rsid w:val="001536EF"/>
    <w:rsid w:val="00173AE7"/>
    <w:rsid w:val="00174FB5"/>
    <w:rsid w:val="001809DA"/>
    <w:rsid w:val="00183587"/>
    <w:rsid w:val="00183DA4"/>
    <w:rsid w:val="0018423E"/>
    <w:rsid w:val="001916FE"/>
    <w:rsid w:val="001B6F31"/>
    <w:rsid w:val="001D2B53"/>
    <w:rsid w:val="001D30AC"/>
    <w:rsid w:val="001F2D0E"/>
    <w:rsid w:val="001F53B2"/>
    <w:rsid w:val="00200665"/>
    <w:rsid w:val="00204792"/>
    <w:rsid w:val="00206308"/>
    <w:rsid w:val="00233ACE"/>
    <w:rsid w:val="0024613B"/>
    <w:rsid w:val="00250719"/>
    <w:rsid w:val="00251513"/>
    <w:rsid w:val="0025292C"/>
    <w:rsid w:val="00272902"/>
    <w:rsid w:val="002955B2"/>
    <w:rsid w:val="002A69AB"/>
    <w:rsid w:val="002B161F"/>
    <w:rsid w:val="002B5268"/>
    <w:rsid w:val="002B7A2B"/>
    <w:rsid w:val="002D6E02"/>
    <w:rsid w:val="002F2908"/>
    <w:rsid w:val="002F3251"/>
    <w:rsid w:val="002F7F16"/>
    <w:rsid w:val="00307DDB"/>
    <w:rsid w:val="003157A0"/>
    <w:rsid w:val="0032561F"/>
    <w:rsid w:val="00326B7D"/>
    <w:rsid w:val="003575EF"/>
    <w:rsid w:val="00361CB9"/>
    <w:rsid w:val="00362421"/>
    <w:rsid w:val="0036459E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71F93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6903"/>
    <w:rsid w:val="0067745B"/>
    <w:rsid w:val="006B0EAD"/>
    <w:rsid w:val="006C7941"/>
    <w:rsid w:val="006D53AD"/>
    <w:rsid w:val="006F01DA"/>
    <w:rsid w:val="006F187D"/>
    <w:rsid w:val="006F20BA"/>
    <w:rsid w:val="00712047"/>
    <w:rsid w:val="00716974"/>
    <w:rsid w:val="00721BD1"/>
    <w:rsid w:val="00761530"/>
    <w:rsid w:val="00776E27"/>
    <w:rsid w:val="00776E3E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E1472"/>
    <w:rsid w:val="007E4429"/>
    <w:rsid w:val="007E5A7D"/>
    <w:rsid w:val="007F1FD0"/>
    <w:rsid w:val="007F4132"/>
    <w:rsid w:val="007F6651"/>
    <w:rsid w:val="00801855"/>
    <w:rsid w:val="00806884"/>
    <w:rsid w:val="0080697B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D5377"/>
    <w:rsid w:val="008F035A"/>
    <w:rsid w:val="008F3DF7"/>
    <w:rsid w:val="00913380"/>
    <w:rsid w:val="00927BF4"/>
    <w:rsid w:val="00930611"/>
    <w:rsid w:val="0094454C"/>
    <w:rsid w:val="00951C3C"/>
    <w:rsid w:val="00965B7A"/>
    <w:rsid w:val="00966576"/>
    <w:rsid w:val="00984334"/>
    <w:rsid w:val="00985171"/>
    <w:rsid w:val="009D16A2"/>
    <w:rsid w:val="009D2CFC"/>
    <w:rsid w:val="009D7486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6705"/>
    <w:rsid w:val="00AA163E"/>
    <w:rsid w:val="00AB3EFB"/>
    <w:rsid w:val="00AD221F"/>
    <w:rsid w:val="00AD7768"/>
    <w:rsid w:val="00B048F0"/>
    <w:rsid w:val="00B11078"/>
    <w:rsid w:val="00B14104"/>
    <w:rsid w:val="00B1486F"/>
    <w:rsid w:val="00B21E2A"/>
    <w:rsid w:val="00B46289"/>
    <w:rsid w:val="00B535E9"/>
    <w:rsid w:val="00B5403E"/>
    <w:rsid w:val="00B6638F"/>
    <w:rsid w:val="00B67834"/>
    <w:rsid w:val="00B75888"/>
    <w:rsid w:val="00B85DB8"/>
    <w:rsid w:val="00B96ADE"/>
    <w:rsid w:val="00BC5367"/>
    <w:rsid w:val="00BD6A4C"/>
    <w:rsid w:val="00BF3AD6"/>
    <w:rsid w:val="00BF5D25"/>
    <w:rsid w:val="00BF6A2C"/>
    <w:rsid w:val="00C04C50"/>
    <w:rsid w:val="00C06049"/>
    <w:rsid w:val="00C26C67"/>
    <w:rsid w:val="00C478F5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D6E54"/>
    <w:rsid w:val="00DF015C"/>
    <w:rsid w:val="00E0728E"/>
    <w:rsid w:val="00E34CC1"/>
    <w:rsid w:val="00E414D1"/>
    <w:rsid w:val="00E44959"/>
    <w:rsid w:val="00E467F4"/>
    <w:rsid w:val="00E46FC4"/>
    <w:rsid w:val="00E80493"/>
    <w:rsid w:val="00E82BE9"/>
    <w:rsid w:val="00E84AF4"/>
    <w:rsid w:val="00E85F05"/>
    <w:rsid w:val="00E97131"/>
    <w:rsid w:val="00EA0299"/>
    <w:rsid w:val="00EA491B"/>
    <w:rsid w:val="00ED2F76"/>
    <w:rsid w:val="00ED5C04"/>
    <w:rsid w:val="00EE0529"/>
    <w:rsid w:val="00EE4C89"/>
    <w:rsid w:val="00EF311C"/>
    <w:rsid w:val="00F17F80"/>
    <w:rsid w:val="00F312A8"/>
    <w:rsid w:val="00F40F33"/>
    <w:rsid w:val="00F52DC4"/>
    <w:rsid w:val="00F531F6"/>
    <w:rsid w:val="00F53C3E"/>
    <w:rsid w:val="00F54D6C"/>
    <w:rsid w:val="00F84BFC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07DA-C122-4A42-954C-AE58E05E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2018-11-07T11:22:00Z</cp:lastPrinted>
  <dcterms:created xsi:type="dcterms:W3CDTF">2018-11-08T11:31:00Z</dcterms:created>
  <dcterms:modified xsi:type="dcterms:W3CDTF">2018-11-08T11:31:00Z</dcterms:modified>
</cp:coreProperties>
</file>